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numPr>
          <w:ilvl w:val="0"/>
          <w:numId w:val="0"/>
        </w:numPr>
        <w:outlineLvl w:val="0"/>
        <w:rPr>
          <w:sz w:val="24"/>
          <w:szCs w:val="24"/>
          <w:lang w:val="sr-CS"/>
        </w:rPr>
      </w:pPr>
      <w:r>
        <w:rPr>
          <w:b/>
          <w:iCs/>
          <w:lang w:val="en-US"/>
        </w:rPr>
        <w:t>Table 9.1</w:t>
      </w:r>
      <w:r>
        <w:rPr>
          <w:lang w:val="en-US"/>
        </w:rPr>
        <w:t xml:space="preserve"> Teacher's competences and teaching responsibilities</w:t>
      </w:r>
    </w:p>
    <w:p>
      <w:pPr>
        <w:pStyle w:val="Normal"/>
        <w:rPr/>
      </w:pPr>
      <w:r>
        <w:rPr/>
      </w:r>
    </w:p>
    <w:tbl>
      <w:tblPr>
        <w:tblW w:w="4950" w:type="pct"/>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3" w:type="dxa"/>
          <w:bottom w:w="0" w:type="dxa"/>
          <w:right w:w="108" w:type="dxa"/>
        </w:tblCellMar>
        <w:tblLook w:val="01e0" w:noVBand="0" w:noHBand="0" w:lastColumn="1" w:firstColumn="1" w:lastRow="1" w:firstRow="1"/>
      </w:tblPr>
      <w:tblGrid>
        <w:gridCol w:w="534"/>
        <w:gridCol w:w="611"/>
        <w:gridCol w:w="506"/>
        <w:gridCol w:w="366"/>
        <w:gridCol w:w="1836"/>
        <w:gridCol w:w="409"/>
        <w:gridCol w:w="172"/>
        <w:gridCol w:w="1819"/>
        <w:gridCol w:w="220"/>
        <w:gridCol w:w="1873"/>
        <w:gridCol w:w="1525"/>
      </w:tblGrid>
      <w:tr>
        <w:trPr/>
        <w:tc>
          <w:tcPr>
            <w:tcW w:w="4262" w:type="dxa"/>
            <w:gridSpan w:val="6"/>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b/>
                <w:b/>
                <w:lang w:val="en-US"/>
              </w:rPr>
            </w:pPr>
            <w:r>
              <w:rPr>
                <w:b/>
                <w:lang w:val="en-US"/>
              </w:rPr>
              <w:t>Name, initials, family name</w:t>
            </w:r>
          </w:p>
        </w:tc>
        <w:tc>
          <w:tcPr>
            <w:tcW w:w="5609"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sz w:val="19"/>
                <w:szCs w:val="19"/>
                <w:lang w:val="en-US"/>
              </w:rPr>
              <w:t>Marija Mitrović Dankulov</w:t>
            </w:r>
          </w:p>
        </w:tc>
      </w:tr>
      <w:tr>
        <w:trPr/>
        <w:tc>
          <w:tcPr>
            <w:tcW w:w="4262" w:type="dxa"/>
            <w:gridSpan w:val="6"/>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lang w:val="en-US"/>
              </w:rPr>
            </w:pPr>
            <w:r>
              <w:rPr>
                <w:b/>
                <w:lang w:val="en-US"/>
              </w:rPr>
              <w:t>Title</w:t>
            </w:r>
          </w:p>
        </w:tc>
        <w:tc>
          <w:tcPr>
            <w:tcW w:w="5609"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sz w:val="19"/>
                <w:szCs w:val="19"/>
                <w:lang w:val="en-US"/>
              </w:rPr>
              <w:t>Assiciate Research Professor</w:t>
            </w:r>
          </w:p>
        </w:tc>
      </w:tr>
      <w:tr>
        <w:trPr/>
        <w:tc>
          <w:tcPr>
            <w:tcW w:w="4262" w:type="dxa"/>
            <w:gridSpan w:val="6"/>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b/>
                <w:b/>
                <w:lang w:val="en-US"/>
              </w:rPr>
            </w:pPr>
            <w:r>
              <w:rPr>
                <w:b/>
                <w:szCs w:val="22"/>
                <w:lang w:val="en-US"/>
              </w:rPr>
              <w:t>Institution where the teacher is a full-time employee (and since when)</w:t>
            </w:r>
          </w:p>
        </w:tc>
        <w:tc>
          <w:tcPr>
            <w:tcW w:w="5609"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sz w:val="19"/>
                <w:szCs w:val="19"/>
                <w:lang w:val="en-US"/>
              </w:rPr>
              <w:t>Institute of Physics Belgrade, University of Belgrade</w:t>
            </w:r>
          </w:p>
          <w:p>
            <w:pPr>
              <w:pStyle w:val="Normal"/>
              <w:rPr/>
            </w:pPr>
            <w:r>
              <w:rPr>
                <w:sz w:val="19"/>
                <w:szCs w:val="19"/>
                <w:lang w:val="en-US"/>
              </w:rPr>
              <w:t>Since 201</w:t>
            </w:r>
            <w:r>
              <w:rPr>
                <w:sz w:val="19"/>
                <w:szCs w:val="19"/>
                <w:lang w:val="en-US"/>
              </w:rPr>
              <w:t>3</w:t>
            </w:r>
            <w:r>
              <w:rPr>
                <w:sz w:val="19"/>
                <w:szCs w:val="19"/>
                <w:lang w:val="en-US"/>
              </w:rPr>
              <w:t xml:space="preserve">. </w:t>
            </w:r>
          </w:p>
        </w:tc>
      </w:tr>
      <w:tr>
        <w:trPr/>
        <w:tc>
          <w:tcPr>
            <w:tcW w:w="4262" w:type="dxa"/>
            <w:gridSpan w:val="6"/>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lang w:val="en-US"/>
              </w:rPr>
            </w:pPr>
            <w:r>
              <w:rPr>
                <w:b/>
                <w:lang w:val="en-US"/>
              </w:rPr>
              <w:t>Field of interest</w:t>
            </w:r>
          </w:p>
        </w:tc>
        <w:tc>
          <w:tcPr>
            <w:tcW w:w="5609"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sz w:val="19"/>
                <w:szCs w:val="19"/>
                <w:lang w:val="en-US"/>
              </w:rPr>
              <w:t>Physics of complex systems</w:t>
            </w:r>
          </w:p>
        </w:tc>
      </w:tr>
      <w:tr>
        <w:trPr/>
        <w:tc>
          <w:tcPr>
            <w:tcW w:w="9871" w:type="dxa"/>
            <w:gridSpan w:val="11"/>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b/>
                <w:b/>
                <w:lang w:val="sr-CS"/>
              </w:rPr>
            </w:pPr>
            <w:r>
              <w:rPr>
                <w:b/>
                <w:lang w:val="en-US"/>
              </w:rPr>
              <w:t>Academic career</w:t>
            </w:r>
          </w:p>
        </w:tc>
      </w:tr>
      <w:tr>
        <w:trPr/>
        <w:tc>
          <w:tcPr>
            <w:tcW w:w="1145"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lang w:val="sr-CS"/>
              </w:rPr>
            </w:pPr>
            <w:r>
              <w:rPr>
                <w:lang w:val="sr-CS"/>
              </w:rPr>
            </w:r>
          </w:p>
        </w:tc>
        <w:tc>
          <w:tcPr>
            <w:tcW w:w="87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lang w:val="en-US"/>
              </w:rPr>
            </w:pPr>
            <w:r>
              <w:rPr/>
              <w:t>Year</w:t>
            </w:r>
            <w:r>
              <w:rPr>
                <w:lang w:val="en-US"/>
              </w:rPr>
              <w:t xml:space="preserve"> </w:t>
            </w:r>
          </w:p>
        </w:tc>
        <w:tc>
          <w:tcPr>
            <w:tcW w:w="4456"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lang w:val="en-US"/>
              </w:rPr>
            </w:pPr>
            <w:r>
              <w:rPr/>
              <w:t>Institution</w:t>
            </w:r>
            <w:r>
              <w:rPr>
                <w:lang w:val="en-US"/>
              </w:rPr>
              <w:t xml:space="preserve"> </w:t>
            </w:r>
          </w:p>
        </w:tc>
        <w:tc>
          <w:tcPr>
            <w:tcW w:w="339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lang w:val="en-US"/>
              </w:rPr>
            </w:pPr>
            <w:r>
              <w:rPr/>
              <w:t>Field</w:t>
            </w:r>
            <w:r>
              <w:rPr>
                <w:lang w:val="en-US"/>
              </w:rPr>
              <w:t xml:space="preserve"> </w:t>
            </w:r>
          </w:p>
        </w:tc>
      </w:tr>
      <w:tr>
        <w:trPr/>
        <w:tc>
          <w:tcPr>
            <w:tcW w:w="1145"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lang w:val="sr-CS"/>
              </w:rPr>
            </w:pPr>
            <w:r>
              <w:rPr/>
              <w:t>Academic promotion</w:t>
            </w:r>
          </w:p>
        </w:tc>
        <w:tc>
          <w:tcPr>
            <w:tcW w:w="87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jc w:val="center"/>
              <w:rPr/>
            </w:pPr>
            <w:r>
              <w:rPr>
                <w:sz w:val="19"/>
                <w:szCs w:val="19"/>
                <w:lang w:val="sr-CS"/>
              </w:rPr>
              <w:t>2018.</w:t>
            </w:r>
          </w:p>
          <w:p>
            <w:pPr>
              <w:pStyle w:val="Normal"/>
              <w:jc w:val="center"/>
              <w:rPr>
                <w:sz w:val="19"/>
                <w:szCs w:val="19"/>
                <w:lang w:val="sr-CS"/>
              </w:rPr>
            </w:pPr>
            <w:r>
              <w:rPr>
                <w:sz w:val="19"/>
                <w:szCs w:val="19"/>
                <w:lang w:val="sr-CS"/>
              </w:rPr>
            </w:r>
          </w:p>
          <w:p>
            <w:pPr>
              <w:pStyle w:val="Normal"/>
              <w:jc w:val="center"/>
              <w:rPr/>
            </w:pPr>
            <w:r>
              <w:rPr>
                <w:sz w:val="19"/>
                <w:szCs w:val="19"/>
                <w:lang w:val="sr-CS"/>
              </w:rPr>
              <w:t>2012.</w:t>
            </w:r>
          </w:p>
        </w:tc>
        <w:tc>
          <w:tcPr>
            <w:tcW w:w="4456"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sz w:val="19"/>
                <w:szCs w:val="19"/>
                <w:lang w:val="sr-CS"/>
              </w:rPr>
              <w:t>Institute of Physics Belgrade (associate research professor)</w:t>
            </w:r>
          </w:p>
          <w:p>
            <w:pPr>
              <w:pStyle w:val="Normal"/>
              <w:rPr/>
            </w:pPr>
            <w:r>
              <w:rPr>
                <w:sz w:val="19"/>
                <w:szCs w:val="19"/>
                <w:lang w:val="sr-CS"/>
              </w:rPr>
              <w:t>Institute of Physics Belgrade (assistant research professor)</w:t>
            </w:r>
          </w:p>
        </w:tc>
        <w:tc>
          <w:tcPr>
            <w:tcW w:w="339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rStyle w:val="Hps"/>
                <w:color w:val="333333"/>
                <w:sz w:val="19"/>
                <w:szCs w:val="19"/>
                <w:lang w:val="sr-CS"/>
              </w:rPr>
              <w:t>Physics</w:t>
            </w:r>
          </w:p>
          <w:p>
            <w:pPr>
              <w:pStyle w:val="Normal"/>
              <w:rPr>
                <w:rStyle w:val="Hps"/>
                <w:color w:val="333333"/>
                <w:sz w:val="19"/>
                <w:szCs w:val="19"/>
                <w:lang w:val="sr-CS"/>
              </w:rPr>
            </w:pPr>
            <w:r>
              <w:rPr>
                <w:color w:val="333333"/>
                <w:sz w:val="19"/>
                <w:szCs w:val="19"/>
                <w:lang w:val="sr-CS"/>
              </w:rPr>
            </w:r>
          </w:p>
          <w:p>
            <w:pPr>
              <w:pStyle w:val="Normal"/>
              <w:rPr/>
            </w:pPr>
            <w:r>
              <w:rPr>
                <w:sz w:val="19"/>
                <w:szCs w:val="19"/>
                <w:lang w:val="en-US"/>
              </w:rPr>
              <w:t>Physics</w:t>
            </w:r>
          </w:p>
        </w:tc>
      </w:tr>
      <w:tr>
        <w:trPr/>
        <w:tc>
          <w:tcPr>
            <w:tcW w:w="1145"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lang w:val="en-US"/>
              </w:rPr>
            </w:pPr>
            <w:r>
              <w:rPr>
                <w:szCs w:val="22"/>
                <w:lang w:val="en-US"/>
              </w:rPr>
              <w:t>PhD</w:t>
            </w:r>
          </w:p>
        </w:tc>
        <w:tc>
          <w:tcPr>
            <w:tcW w:w="87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jc w:val="center"/>
              <w:rPr/>
            </w:pPr>
            <w:r>
              <w:rPr>
                <w:sz w:val="19"/>
                <w:szCs w:val="19"/>
                <w:lang w:val="sr-CS"/>
              </w:rPr>
              <w:t>2012.</w:t>
            </w:r>
          </w:p>
        </w:tc>
        <w:tc>
          <w:tcPr>
            <w:tcW w:w="4456"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sz w:val="19"/>
                <w:szCs w:val="19"/>
                <w:lang w:val="en-US"/>
              </w:rPr>
              <w:t xml:space="preserve">University of Belgrade, </w:t>
            </w:r>
            <w:r>
              <w:rPr>
                <w:sz w:val="19"/>
                <w:szCs w:val="19"/>
                <w:lang w:val="sr-CS"/>
              </w:rPr>
              <w:t>Faculty of Physics</w:t>
            </w:r>
          </w:p>
        </w:tc>
        <w:tc>
          <w:tcPr>
            <w:tcW w:w="339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sz w:val="19"/>
                <w:szCs w:val="19"/>
                <w:lang w:val="en-US"/>
              </w:rPr>
              <w:t>Natural sciences</w:t>
            </w:r>
            <w:r>
              <w:rPr>
                <w:sz w:val="19"/>
                <w:szCs w:val="19"/>
                <w:lang w:val="sr-CS"/>
              </w:rPr>
              <w:t xml:space="preserve"> – </w:t>
            </w:r>
            <w:r>
              <w:rPr>
                <w:sz w:val="19"/>
                <w:szCs w:val="19"/>
                <w:lang w:val="en-US"/>
              </w:rPr>
              <w:t>Physics</w:t>
            </w:r>
          </w:p>
        </w:tc>
      </w:tr>
      <w:tr>
        <w:trPr/>
        <w:tc>
          <w:tcPr>
            <w:tcW w:w="1145"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lang w:val="en-US"/>
              </w:rPr>
            </w:pPr>
            <w:r>
              <w:rPr>
                <w:szCs w:val="22"/>
                <w:lang w:val="en-US"/>
              </w:rPr>
              <w:t>MSc</w:t>
            </w:r>
          </w:p>
        </w:tc>
        <w:tc>
          <w:tcPr>
            <w:tcW w:w="87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jc w:val="center"/>
              <w:rPr/>
            </w:pPr>
            <w:r>
              <w:rPr>
                <w:sz w:val="19"/>
                <w:szCs w:val="19"/>
                <w:lang w:val="sr-CS"/>
              </w:rPr>
              <w:t>2010.</w:t>
            </w:r>
          </w:p>
        </w:tc>
        <w:tc>
          <w:tcPr>
            <w:tcW w:w="4456"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sz w:val="19"/>
                <w:szCs w:val="19"/>
                <w:lang w:val="en-US"/>
              </w:rPr>
              <w:t xml:space="preserve">University of Belgrade, </w:t>
            </w:r>
            <w:r>
              <w:rPr>
                <w:sz w:val="19"/>
                <w:szCs w:val="19"/>
                <w:lang w:val="sr-CS"/>
              </w:rPr>
              <w:t>Faculty of Physics</w:t>
            </w:r>
          </w:p>
        </w:tc>
        <w:tc>
          <w:tcPr>
            <w:tcW w:w="339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sz w:val="19"/>
                <w:szCs w:val="19"/>
                <w:lang w:val="en-US"/>
              </w:rPr>
              <w:t>Natural sciences</w:t>
            </w:r>
            <w:r>
              <w:rPr>
                <w:sz w:val="19"/>
                <w:szCs w:val="19"/>
                <w:lang w:val="sr-CS"/>
              </w:rPr>
              <w:t xml:space="preserve"> – </w:t>
            </w:r>
            <w:r>
              <w:rPr>
                <w:sz w:val="19"/>
                <w:szCs w:val="19"/>
                <w:lang w:val="en-US"/>
              </w:rPr>
              <w:t>Physics</w:t>
            </w:r>
          </w:p>
        </w:tc>
      </w:tr>
      <w:tr>
        <w:trPr/>
        <w:tc>
          <w:tcPr>
            <w:tcW w:w="1145"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lang w:val="en-US"/>
              </w:rPr>
            </w:pPr>
            <w:r>
              <w:rPr>
                <w:szCs w:val="22"/>
                <w:lang w:val="en-US"/>
              </w:rPr>
              <w:t>BSc</w:t>
            </w:r>
          </w:p>
        </w:tc>
        <w:tc>
          <w:tcPr>
            <w:tcW w:w="87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jc w:val="center"/>
              <w:rPr/>
            </w:pPr>
            <w:r>
              <w:rPr>
                <w:sz w:val="19"/>
                <w:szCs w:val="19"/>
                <w:lang w:val="sr-CS"/>
              </w:rPr>
              <w:t>2005.</w:t>
            </w:r>
          </w:p>
        </w:tc>
        <w:tc>
          <w:tcPr>
            <w:tcW w:w="4456"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sz w:val="19"/>
                <w:szCs w:val="19"/>
                <w:lang w:val="en-US"/>
              </w:rPr>
              <w:t xml:space="preserve">University of Belgrade, </w:t>
            </w:r>
            <w:r>
              <w:rPr>
                <w:sz w:val="19"/>
                <w:szCs w:val="19"/>
                <w:lang w:val="sr-CS"/>
              </w:rPr>
              <w:t>Faculty of Physics</w:t>
            </w:r>
          </w:p>
        </w:tc>
        <w:tc>
          <w:tcPr>
            <w:tcW w:w="339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sz w:val="19"/>
                <w:szCs w:val="19"/>
                <w:lang w:val="en-US"/>
              </w:rPr>
              <w:t>Natural sciences</w:t>
            </w:r>
            <w:r>
              <w:rPr>
                <w:sz w:val="19"/>
                <w:szCs w:val="19"/>
                <w:lang w:val="sr-CS"/>
              </w:rPr>
              <w:t xml:space="preserve"> – </w:t>
            </w:r>
            <w:r>
              <w:rPr>
                <w:sz w:val="19"/>
                <w:szCs w:val="19"/>
                <w:lang w:val="en-US"/>
              </w:rPr>
              <w:t>Physics</w:t>
            </w:r>
          </w:p>
        </w:tc>
      </w:tr>
      <w:tr>
        <w:trPr/>
        <w:tc>
          <w:tcPr>
            <w:tcW w:w="9871" w:type="dxa"/>
            <w:gridSpan w:val="11"/>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b/>
                <w:b/>
                <w:lang w:val="ru-RU"/>
              </w:rPr>
            </w:pPr>
            <w:r>
              <w:rPr>
                <w:b/>
              </w:rPr>
              <w:t>List of BSc and MSc courses the teacher is currently responsible for</w:t>
            </w:r>
          </w:p>
        </w:tc>
      </w:tr>
      <w:tr>
        <w:trPr/>
        <w:tc>
          <w:tcPr>
            <w:tcW w:w="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jc w:val="center"/>
              <w:rPr>
                <w:b/>
                <w:b/>
                <w:lang w:val="sr-CS"/>
              </w:rPr>
            </w:pPr>
            <w:r>
              <w:rPr>
                <w:b/>
              </w:rPr>
              <w:t>No.</w:t>
            </w:r>
          </w:p>
        </w:tc>
        <w:tc>
          <w:tcPr>
            <w:tcW w:w="3319"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b/>
                <w:b/>
                <w:iCs/>
                <w:lang w:val="en-US"/>
              </w:rPr>
            </w:pPr>
            <w:r>
              <w:rPr>
                <w:b/>
                <w:iCs/>
                <w:lang w:val="en-US"/>
              </w:rPr>
              <w:t>Course title</w:t>
            </w:r>
          </w:p>
        </w:tc>
        <w:tc>
          <w:tcPr>
            <w:tcW w:w="449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b/>
                <w:b/>
                <w:lang w:val="en-US"/>
              </w:rPr>
            </w:pPr>
            <w:r>
              <w:rPr>
                <w:b/>
                <w:iCs/>
                <w:lang w:val="en-US"/>
              </w:rPr>
              <w:t>Study program and level</w:t>
            </w:r>
          </w:p>
        </w:tc>
        <w:tc>
          <w:tcPr>
            <w:tcW w:w="152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b/>
                <w:b/>
              </w:rPr>
            </w:pPr>
            <w:r>
              <w:rPr>
                <w:b/>
              </w:rPr>
              <w:t>Course hours</w:t>
            </w:r>
          </w:p>
        </w:tc>
      </w:tr>
      <w:tr>
        <w:trPr/>
        <w:tc>
          <w:tcPr>
            <w:tcW w:w="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ListParagraph"/>
              <w:numPr>
                <w:ilvl w:val="0"/>
                <w:numId w:val="2"/>
              </w:numPr>
              <w:ind w:left="504" w:hanging="360"/>
              <w:jc w:val="center"/>
              <w:rPr>
                <w:b/>
                <w:b/>
                <w:lang w:val="sr-CS"/>
              </w:rPr>
            </w:pPr>
            <w:r>
              <w:rPr>
                <w:b/>
                <w:lang w:val="sr-CS"/>
              </w:rPr>
            </w:r>
          </w:p>
        </w:tc>
        <w:tc>
          <w:tcPr>
            <w:tcW w:w="3319"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19"/>
                <w:szCs w:val="19"/>
                <w:lang w:val="en-US"/>
              </w:rPr>
            </w:pPr>
            <w:r>
              <w:rPr>
                <w:sz w:val="19"/>
                <w:szCs w:val="19"/>
                <w:lang w:val="en-US"/>
              </w:rPr>
            </w:r>
          </w:p>
        </w:tc>
        <w:tc>
          <w:tcPr>
            <w:tcW w:w="449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19"/>
                <w:szCs w:val="19"/>
                <w:lang w:val="en-US"/>
              </w:rPr>
            </w:pPr>
            <w:r>
              <w:rPr>
                <w:sz w:val="19"/>
                <w:szCs w:val="19"/>
                <w:lang w:val="en-US"/>
              </w:rPr>
            </w:r>
          </w:p>
        </w:tc>
        <w:tc>
          <w:tcPr>
            <w:tcW w:w="152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jc w:val="center"/>
              <w:rPr>
                <w:sz w:val="19"/>
                <w:szCs w:val="19"/>
              </w:rPr>
            </w:pPr>
            <w:r>
              <w:rPr>
                <w:sz w:val="19"/>
                <w:szCs w:val="19"/>
              </w:rPr>
            </w:r>
          </w:p>
        </w:tc>
      </w:tr>
      <w:tr>
        <w:trPr/>
        <w:tc>
          <w:tcPr>
            <w:tcW w:w="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ListParagraph"/>
              <w:numPr>
                <w:ilvl w:val="0"/>
                <w:numId w:val="2"/>
              </w:numPr>
              <w:ind w:left="504" w:hanging="360"/>
              <w:jc w:val="center"/>
              <w:rPr>
                <w:sz w:val="22"/>
                <w:szCs w:val="22"/>
              </w:rPr>
            </w:pPr>
            <w:r>
              <w:rPr>
                <w:sz w:val="22"/>
                <w:szCs w:val="22"/>
              </w:rPr>
            </w:r>
          </w:p>
        </w:tc>
        <w:tc>
          <w:tcPr>
            <w:tcW w:w="3319"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19"/>
                <w:szCs w:val="19"/>
              </w:rPr>
            </w:pPr>
            <w:r>
              <w:rPr>
                <w:sz w:val="19"/>
                <w:szCs w:val="19"/>
              </w:rPr>
            </w:r>
          </w:p>
        </w:tc>
        <w:tc>
          <w:tcPr>
            <w:tcW w:w="449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19"/>
                <w:szCs w:val="19"/>
                <w:lang w:val="en-US"/>
              </w:rPr>
            </w:pPr>
            <w:r>
              <w:rPr>
                <w:sz w:val="19"/>
                <w:szCs w:val="19"/>
                <w:lang w:val="en-US"/>
              </w:rPr>
            </w:r>
          </w:p>
        </w:tc>
        <w:tc>
          <w:tcPr>
            <w:tcW w:w="152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jc w:val="center"/>
              <w:rPr>
                <w:sz w:val="19"/>
                <w:szCs w:val="19"/>
              </w:rPr>
            </w:pPr>
            <w:r>
              <w:rPr>
                <w:sz w:val="19"/>
                <w:szCs w:val="19"/>
              </w:rPr>
            </w:r>
          </w:p>
        </w:tc>
      </w:tr>
      <w:tr>
        <w:trPr/>
        <w:tc>
          <w:tcPr>
            <w:tcW w:w="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ListParagraph"/>
              <w:numPr>
                <w:ilvl w:val="0"/>
                <w:numId w:val="2"/>
              </w:numPr>
              <w:ind w:left="504" w:hanging="360"/>
              <w:jc w:val="center"/>
              <w:rPr>
                <w:b/>
                <w:b/>
                <w:lang w:val="sr-CS"/>
              </w:rPr>
            </w:pPr>
            <w:r>
              <w:rPr>
                <w:b/>
                <w:lang w:val="sr-CS"/>
              </w:rPr>
            </w:r>
          </w:p>
        </w:tc>
        <w:tc>
          <w:tcPr>
            <w:tcW w:w="3319"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19"/>
                <w:szCs w:val="19"/>
                <w:lang w:val="en-US"/>
              </w:rPr>
            </w:pPr>
            <w:r>
              <w:rPr>
                <w:sz w:val="19"/>
                <w:szCs w:val="19"/>
                <w:lang w:val="en-US"/>
              </w:rPr>
            </w:r>
          </w:p>
        </w:tc>
        <w:tc>
          <w:tcPr>
            <w:tcW w:w="449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19"/>
                <w:szCs w:val="19"/>
                <w:lang w:val="en-US"/>
              </w:rPr>
            </w:pPr>
            <w:r>
              <w:rPr>
                <w:sz w:val="19"/>
                <w:szCs w:val="19"/>
                <w:lang w:val="en-US"/>
              </w:rPr>
            </w:r>
          </w:p>
        </w:tc>
        <w:tc>
          <w:tcPr>
            <w:tcW w:w="152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jc w:val="center"/>
              <w:rPr>
                <w:sz w:val="19"/>
                <w:szCs w:val="19"/>
              </w:rPr>
            </w:pPr>
            <w:r>
              <w:rPr>
                <w:sz w:val="19"/>
                <w:szCs w:val="19"/>
              </w:rPr>
            </w:r>
          </w:p>
        </w:tc>
      </w:tr>
      <w:tr>
        <w:trPr/>
        <w:tc>
          <w:tcPr>
            <w:tcW w:w="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ListParagraph"/>
              <w:numPr>
                <w:ilvl w:val="0"/>
                <w:numId w:val="2"/>
              </w:numPr>
              <w:ind w:left="504" w:hanging="360"/>
              <w:jc w:val="center"/>
              <w:rPr>
                <w:sz w:val="22"/>
                <w:szCs w:val="22"/>
              </w:rPr>
            </w:pPr>
            <w:r>
              <w:rPr>
                <w:sz w:val="22"/>
                <w:szCs w:val="22"/>
              </w:rPr>
            </w:r>
          </w:p>
        </w:tc>
        <w:tc>
          <w:tcPr>
            <w:tcW w:w="3319"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19"/>
                <w:szCs w:val="19"/>
              </w:rPr>
            </w:pPr>
            <w:r>
              <w:rPr>
                <w:sz w:val="19"/>
                <w:szCs w:val="19"/>
              </w:rPr>
            </w:r>
          </w:p>
        </w:tc>
        <w:tc>
          <w:tcPr>
            <w:tcW w:w="449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rStyle w:val="Hps"/>
                <w:sz w:val="19"/>
                <w:szCs w:val="19"/>
              </w:rPr>
            </w:pPr>
            <w:r>
              <w:rPr>
                <w:sz w:val="19"/>
                <w:szCs w:val="19"/>
              </w:rPr>
            </w:r>
          </w:p>
        </w:tc>
        <w:tc>
          <w:tcPr>
            <w:tcW w:w="152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jc w:val="center"/>
              <w:rPr>
                <w:sz w:val="19"/>
                <w:szCs w:val="19"/>
                <w:lang w:val="sr-RS"/>
              </w:rPr>
            </w:pPr>
            <w:r>
              <w:rPr>
                <w:sz w:val="19"/>
                <w:szCs w:val="19"/>
                <w:lang w:val="sr-RS"/>
              </w:rPr>
            </w:r>
          </w:p>
        </w:tc>
      </w:tr>
      <w:tr>
        <w:trPr/>
        <w:tc>
          <w:tcPr>
            <w:tcW w:w="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ListParagraph"/>
              <w:numPr>
                <w:ilvl w:val="0"/>
                <w:numId w:val="2"/>
              </w:numPr>
              <w:ind w:left="504" w:hanging="360"/>
              <w:jc w:val="center"/>
              <w:rPr>
                <w:sz w:val="22"/>
                <w:szCs w:val="22"/>
              </w:rPr>
            </w:pPr>
            <w:r>
              <w:rPr>
                <w:sz w:val="22"/>
                <w:szCs w:val="22"/>
              </w:rPr>
            </w:r>
          </w:p>
        </w:tc>
        <w:tc>
          <w:tcPr>
            <w:tcW w:w="3319"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19"/>
                <w:szCs w:val="19"/>
                <w:lang w:val="sr-CS"/>
              </w:rPr>
            </w:pPr>
            <w:r>
              <w:rPr>
                <w:sz w:val="19"/>
                <w:szCs w:val="19"/>
                <w:lang w:val="sr-CS"/>
              </w:rPr>
            </w:r>
          </w:p>
        </w:tc>
        <w:tc>
          <w:tcPr>
            <w:tcW w:w="449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rStyle w:val="Hps"/>
                <w:sz w:val="19"/>
                <w:szCs w:val="19"/>
                <w:lang w:val="sr-CS"/>
              </w:rPr>
            </w:pPr>
            <w:r>
              <w:rPr>
                <w:sz w:val="19"/>
                <w:szCs w:val="19"/>
                <w:lang w:val="sr-CS"/>
              </w:rPr>
            </w:r>
          </w:p>
        </w:tc>
        <w:tc>
          <w:tcPr>
            <w:tcW w:w="152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jc w:val="center"/>
              <w:rPr>
                <w:sz w:val="19"/>
                <w:szCs w:val="19"/>
              </w:rPr>
            </w:pPr>
            <w:r>
              <w:rPr>
                <w:sz w:val="19"/>
                <w:szCs w:val="19"/>
              </w:rPr>
            </w:r>
          </w:p>
        </w:tc>
      </w:tr>
      <w:tr>
        <w:trPr/>
        <w:tc>
          <w:tcPr>
            <w:tcW w:w="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ListParagraph"/>
              <w:numPr>
                <w:ilvl w:val="0"/>
                <w:numId w:val="2"/>
              </w:numPr>
              <w:ind w:left="504" w:hanging="360"/>
              <w:jc w:val="center"/>
              <w:rPr>
                <w:sz w:val="22"/>
                <w:szCs w:val="22"/>
              </w:rPr>
            </w:pPr>
            <w:r>
              <w:rPr>
                <w:sz w:val="22"/>
                <w:szCs w:val="22"/>
              </w:rPr>
            </w:r>
          </w:p>
        </w:tc>
        <w:tc>
          <w:tcPr>
            <w:tcW w:w="3319"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19"/>
                <w:szCs w:val="19"/>
                <w:lang w:val="sr-CS"/>
              </w:rPr>
            </w:pPr>
            <w:r>
              <w:rPr>
                <w:sz w:val="19"/>
                <w:szCs w:val="19"/>
                <w:lang w:val="sr-CS"/>
              </w:rPr>
            </w:r>
          </w:p>
        </w:tc>
        <w:tc>
          <w:tcPr>
            <w:tcW w:w="449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rStyle w:val="Hps"/>
                <w:sz w:val="19"/>
                <w:szCs w:val="19"/>
                <w:lang w:val="sr-CS"/>
              </w:rPr>
            </w:pPr>
            <w:r>
              <w:rPr>
                <w:sz w:val="19"/>
                <w:szCs w:val="19"/>
                <w:lang w:val="sr-CS"/>
              </w:rPr>
            </w:r>
          </w:p>
        </w:tc>
        <w:tc>
          <w:tcPr>
            <w:tcW w:w="152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jc w:val="center"/>
              <w:rPr>
                <w:sz w:val="19"/>
                <w:szCs w:val="19"/>
                <w:lang w:val="sr-Latn-RS"/>
              </w:rPr>
            </w:pPr>
            <w:r>
              <w:rPr>
                <w:sz w:val="19"/>
                <w:szCs w:val="19"/>
                <w:lang w:val="sr-Latn-RS"/>
              </w:rPr>
            </w:r>
          </w:p>
        </w:tc>
      </w:tr>
      <w:tr>
        <w:trPr/>
        <w:tc>
          <w:tcPr>
            <w:tcW w:w="9871" w:type="dxa"/>
            <w:gridSpan w:val="11"/>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b/>
                <w:b/>
                <w:lang w:val="sr-CS"/>
              </w:rPr>
            </w:pPr>
            <w:r>
              <w:rPr>
                <w:b/>
              </w:rPr>
              <w:t>The most important research publications (min 5, max 10)</w:t>
            </w:r>
          </w:p>
        </w:tc>
      </w:tr>
      <w:tr>
        <w:trPr/>
        <w:tc>
          <w:tcPr>
            <w:tcW w:w="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numPr>
                <w:ilvl w:val="0"/>
                <w:numId w:val="1"/>
              </w:numPr>
              <w:rPr>
                <w:lang w:val="sr-CS"/>
              </w:rPr>
            </w:pPr>
            <w:r>
              <w:rPr>
                <w:lang w:val="sr-CS"/>
              </w:rPr>
            </w:r>
          </w:p>
        </w:tc>
        <w:tc>
          <w:tcPr>
            <w:tcW w:w="9337"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numPr>
                <w:ilvl w:val="0"/>
                <w:numId w:val="0"/>
              </w:numPr>
              <w:tabs>
                <w:tab w:val="left" w:pos="900" w:leader="none"/>
                <w:tab w:val="left" w:pos="1200" w:leader="none"/>
                <w:tab w:val="left" w:pos="1276" w:leader="none"/>
              </w:tabs>
              <w:ind w:right="0" w:hanging="0"/>
              <w:jc w:val="both"/>
              <w:rPr/>
            </w:pPr>
            <w:r>
              <w:rPr>
                <w:sz w:val="19"/>
                <w:szCs w:val="19"/>
                <w:lang w:val="de-DE"/>
              </w:rPr>
              <w:t xml:space="preserve">M. Mitrović Dankulov, G. Caldarelli, S. Fortunato, D. Krioukov, Classifying networks with dk-series, in </w:t>
            </w:r>
            <w:r>
              <w:rPr>
                <w:b/>
                <w:bCs/>
                <w:sz w:val="19"/>
                <w:szCs w:val="19"/>
                <w:lang w:val="de-DE"/>
              </w:rPr>
              <w:t xml:space="preserve">Multiplex and Multilevel Networks, </w:t>
            </w:r>
            <w:r>
              <w:rPr>
                <w:b w:val="false"/>
                <w:bCs w:val="false"/>
                <w:sz w:val="19"/>
                <w:szCs w:val="19"/>
                <w:lang w:val="de-DE"/>
              </w:rPr>
              <w:t>edited by S. Battiston, G. Caldarell, and A. Garas, Oxford University Press, 2019. DOI 10.1093/oso/9780198809456.003.000</w:t>
            </w:r>
          </w:p>
        </w:tc>
      </w:tr>
      <w:tr>
        <w:trPr/>
        <w:tc>
          <w:tcPr>
            <w:tcW w:w="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numPr>
                <w:ilvl w:val="0"/>
                <w:numId w:val="1"/>
              </w:numPr>
              <w:rPr>
                <w:lang w:val="sr-CS"/>
              </w:rPr>
            </w:pPr>
            <w:r>
              <w:rPr>
                <w:lang w:val="sr-CS"/>
              </w:rPr>
            </w:r>
          </w:p>
        </w:tc>
        <w:tc>
          <w:tcPr>
            <w:tcW w:w="9337"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numPr>
                <w:ilvl w:val="0"/>
                <w:numId w:val="0"/>
              </w:numPr>
              <w:tabs>
                <w:tab w:val="left" w:pos="900" w:leader="none"/>
                <w:tab w:val="left" w:pos="1200" w:leader="none"/>
                <w:tab w:val="left" w:pos="1276" w:leader="none"/>
              </w:tabs>
              <w:ind w:right="0" w:hanging="0"/>
              <w:jc w:val="both"/>
              <w:rPr/>
            </w:pPr>
            <w:r>
              <w:rPr>
                <w:i w:val="false"/>
                <w:iCs w:val="false"/>
                <w:sz w:val="19"/>
                <w:szCs w:val="19"/>
              </w:rPr>
              <w:t xml:space="preserve">J. Smiljanić and M. Mitrović Dankulov, Associative nature of event participation dynamics: a network theory approach, </w:t>
            </w:r>
            <w:r>
              <w:rPr>
                <w:b/>
                <w:bCs/>
                <w:i w:val="false"/>
                <w:iCs w:val="false"/>
                <w:sz w:val="19"/>
                <w:szCs w:val="19"/>
                <w:lang w:val="de-DE"/>
              </w:rPr>
              <w:t>PLoS ONE</w:t>
            </w:r>
            <w:r>
              <w:rPr>
                <w:i w:val="false"/>
                <w:iCs w:val="false"/>
                <w:sz w:val="19"/>
                <w:szCs w:val="19"/>
                <w:lang w:val="de-DE"/>
              </w:rPr>
              <w:t xml:space="preserve"> </w:t>
            </w:r>
            <w:r>
              <w:rPr>
                <w:b w:val="false"/>
                <w:bCs w:val="false"/>
                <w:i w:val="false"/>
                <w:iCs w:val="false"/>
                <w:sz w:val="19"/>
                <w:szCs w:val="19"/>
                <w:lang w:val="de-DE"/>
              </w:rPr>
              <w:t>12</w:t>
            </w:r>
            <w:r>
              <w:rPr>
                <w:i w:val="false"/>
                <w:iCs w:val="false"/>
                <w:sz w:val="19"/>
                <w:szCs w:val="19"/>
                <w:lang w:val="de-DE"/>
              </w:rPr>
              <w:t xml:space="preserve">, e0171565, 2017. DOI: </w:t>
            </w:r>
            <w:bookmarkStart w:id="0" w:name="artDoi"/>
            <w:bookmarkEnd w:id="0"/>
            <w:r>
              <w:rPr>
                <w:i w:val="false"/>
                <w:iCs w:val="false"/>
                <w:sz w:val="19"/>
                <w:szCs w:val="19"/>
                <w:lang w:val="de-DE"/>
              </w:rPr>
              <w:t xml:space="preserve">10.1371/journal.pone.0171565 </w:t>
            </w:r>
            <w:r>
              <w:rPr>
                <w:lang w:val="de-DE"/>
              </w:rPr>
              <w:t xml:space="preserve"> </w:t>
            </w:r>
          </w:p>
        </w:tc>
      </w:tr>
      <w:tr>
        <w:trPr/>
        <w:tc>
          <w:tcPr>
            <w:tcW w:w="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numPr>
                <w:ilvl w:val="0"/>
                <w:numId w:val="1"/>
              </w:numPr>
              <w:rPr>
                <w:lang w:val="sr-CS"/>
              </w:rPr>
            </w:pPr>
            <w:r>
              <w:rPr>
                <w:lang w:val="sr-CS"/>
              </w:rPr>
            </w:r>
          </w:p>
        </w:tc>
        <w:tc>
          <w:tcPr>
            <w:tcW w:w="9337"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jc w:val="both"/>
              <w:rPr/>
            </w:pPr>
            <w:r>
              <w:rPr>
                <w:sz w:val="19"/>
                <w:szCs w:val="19"/>
                <w:lang w:val="sr-CS"/>
              </w:rPr>
              <w:t xml:space="preserve">M. Mitrović Dankulov and J. Smiljanić, Structure and dynamics of meetup social networks, in </w:t>
            </w:r>
            <w:r>
              <w:rPr>
                <w:b/>
                <w:bCs/>
                <w:sz w:val="19"/>
                <w:szCs w:val="19"/>
                <w:lang w:val="sr-CS"/>
              </w:rPr>
              <w:t>Scientific Computing: Studies and Applications</w:t>
            </w:r>
            <w:r>
              <w:rPr>
                <w:sz w:val="19"/>
                <w:szCs w:val="19"/>
                <w:lang w:val="sr-CS"/>
              </w:rPr>
              <w:t>, edited by C. Erling, Nova  Science Publishers, pp. 33-61, 2017. ISBN-13: 78-1536125641</w:t>
            </w:r>
          </w:p>
        </w:tc>
      </w:tr>
      <w:tr>
        <w:trPr/>
        <w:tc>
          <w:tcPr>
            <w:tcW w:w="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numPr>
                <w:ilvl w:val="0"/>
                <w:numId w:val="1"/>
              </w:numPr>
              <w:rPr>
                <w:lang w:val="sr-CS"/>
              </w:rPr>
            </w:pPr>
            <w:r>
              <w:rPr>
                <w:lang w:val="sr-CS"/>
              </w:rPr>
            </w:r>
          </w:p>
        </w:tc>
        <w:tc>
          <w:tcPr>
            <w:tcW w:w="9337"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jc w:val="both"/>
              <w:rPr/>
            </w:pPr>
            <w:r>
              <w:rPr/>
              <w:t>M. Mitrović Dankulov, R. Melnik and B. Tadić</w:t>
            </w:r>
            <w:r>
              <w:rPr>
                <w:b w:val="false"/>
                <w:bCs w:val="false"/>
                <w:i w:val="false"/>
                <w:iCs w:val="false"/>
                <w:sz w:val="19"/>
                <w:szCs w:val="19"/>
              </w:rPr>
              <w:t xml:space="preserve">,  </w:t>
            </w:r>
            <w:r>
              <w:rPr>
                <w:rFonts w:eastAsia="T3Font_1"/>
                <w:b w:val="false"/>
                <w:bCs w:val="false"/>
                <w:i w:val="false"/>
                <w:iCs w:val="false"/>
                <w:sz w:val="19"/>
                <w:szCs w:val="19"/>
              </w:rPr>
              <w:t xml:space="preserve">The Dynamics of Meaningful Social Interactions and the Emergence of Collective Knowledge, </w:t>
            </w:r>
            <w:r>
              <w:rPr>
                <w:rFonts w:eastAsia="T3Font_1"/>
                <w:b/>
                <w:bCs/>
                <w:i w:val="false"/>
                <w:iCs w:val="false"/>
                <w:sz w:val="19"/>
                <w:szCs w:val="19"/>
              </w:rPr>
              <w:t>Sci. Rep.  5</w:t>
            </w:r>
            <w:r>
              <w:rPr>
                <w:rFonts w:eastAsia="T3Font_1"/>
                <w:b w:val="false"/>
                <w:bCs w:val="false"/>
                <w:i w:val="false"/>
                <w:iCs w:val="false"/>
                <w:sz w:val="19"/>
                <w:szCs w:val="19"/>
              </w:rPr>
              <w:t>, 12197, 2015. DOI: 10.1038/srep12197</w:t>
            </w:r>
          </w:p>
        </w:tc>
      </w:tr>
      <w:tr>
        <w:trPr/>
        <w:tc>
          <w:tcPr>
            <w:tcW w:w="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numPr>
                <w:ilvl w:val="0"/>
                <w:numId w:val="1"/>
              </w:numPr>
              <w:rPr>
                <w:lang w:val="sr-CS"/>
              </w:rPr>
            </w:pPr>
            <w:r>
              <w:rPr>
                <w:lang w:val="sr-CS"/>
              </w:rPr>
            </w:r>
          </w:p>
        </w:tc>
        <w:tc>
          <w:tcPr>
            <w:tcW w:w="9337"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tabs>
                <w:tab w:val="left" w:pos="900" w:leader="none"/>
                <w:tab w:val="left" w:pos="1200" w:leader="none"/>
              </w:tabs>
              <w:ind w:right="0" w:hanging="0"/>
              <w:jc w:val="both"/>
              <w:rPr/>
            </w:pPr>
            <w:r>
              <w:rPr>
                <w:sz w:val="19"/>
                <w:szCs w:val="19"/>
              </w:rPr>
              <w:t xml:space="preserve">C. Orsini, </w:t>
            </w:r>
            <w:r>
              <w:rPr>
                <w:b w:val="false"/>
                <w:bCs w:val="false"/>
                <w:sz w:val="19"/>
                <w:szCs w:val="19"/>
              </w:rPr>
              <w:t>M. Mitrović Dankulov,</w:t>
            </w:r>
            <w:r>
              <w:rPr>
                <w:sz w:val="19"/>
                <w:szCs w:val="19"/>
              </w:rPr>
              <w:t xml:space="preserve"> P. Colomer-de-Simón, A. Jamakovic, P. Mahadevan, A. Vahdat, K. E. Bassler, Z. Toroczkai, M. Boguñá, G. Caldarelli, S. Fortunato, and D. Krioukov, </w:t>
            </w:r>
            <w:r>
              <w:rPr>
                <w:b w:val="false"/>
                <w:bCs w:val="false"/>
                <w:i w:val="false"/>
                <w:iCs w:val="false"/>
                <w:sz w:val="19"/>
                <w:szCs w:val="19"/>
              </w:rPr>
              <w:t xml:space="preserve">Quantifying Randomness in Real Networks, </w:t>
            </w:r>
            <w:r>
              <w:rPr>
                <w:b/>
                <w:bCs/>
                <w:i w:val="false"/>
                <w:iCs w:val="false"/>
                <w:sz w:val="19"/>
                <w:szCs w:val="19"/>
              </w:rPr>
              <w:t>Nat. Commun.</w:t>
            </w:r>
            <w:r>
              <w:rPr>
                <w:b w:val="false"/>
                <w:bCs w:val="false"/>
                <w:i w:val="false"/>
                <w:iCs w:val="false"/>
                <w:sz w:val="19"/>
                <w:szCs w:val="19"/>
              </w:rPr>
              <w:t xml:space="preserve"> </w:t>
            </w:r>
            <w:r>
              <w:rPr>
                <w:b/>
                <w:bCs/>
                <w:i w:val="false"/>
                <w:iCs w:val="false"/>
                <w:sz w:val="19"/>
                <w:szCs w:val="19"/>
              </w:rPr>
              <w:t>6</w:t>
            </w:r>
            <w:r>
              <w:rPr>
                <w:b w:val="false"/>
                <w:bCs w:val="false"/>
                <w:i w:val="false"/>
                <w:iCs w:val="false"/>
                <w:sz w:val="19"/>
                <w:szCs w:val="19"/>
              </w:rPr>
              <w:t xml:space="preserve">, 8627, 2015. DOI: </w:t>
            </w:r>
            <w:r>
              <w:rPr>
                <w:b w:val="false"/>
                <w:bCs w:val="false"/>
                <w:i w:val="false"/>
                <w:iCs w:val="false"/>
              </w:rPr>
              <w:t>10.1038/ncomms9627</w:t>
            </w:r>
          </w:p>
        </w:tc>
      </w:tr>
      <w:tr>
        <w:trPr/>
        <w:tc>
          <w:tcPr>
            <w:tcW w:w="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numPr>
                <w:ilvl w:val="0"/>
                <w:numId w:val="1"/>
              </w:numPr>
              <w:rPr>
                <w:lang w:val="sr-CS"/>
              </w:rPr>
            </w:pPr>
            <w:r>
              <w:rPr>
                <w:lang w:val="sr-CS"/>
              </w:rPr>
            </w:r>
          </w:p>
        </w:tc>
        <w:tc>
          <w:tcPr>
            <w:tcW w:w="9337"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tabs>
                <w:tab w:val="left" w:pos="900" w:leader="none"/>
                <w:tab w:val="left" w:pos="1200" w:leader="none"/>
              </w:tabs>
              <w:ind w:right="0" w:hanging="0"/>
              <w:jc w:val="both"/>
              <w:rPr/>
            </w:pPr>
            <w:r>
              <w:rPr>
                <w:rFonts w:eastAsia="T3Font_1"/>
                <w:sz w:val="19"/>
                <w:szCs w:val="19"/>
              </w:rPr>
              <w:t xml:space="preserve">S. Fortunato, A. Chatterjee, </w:t>
            </w:r>
            <w:r>
              <w:rPr>
                <w:rFonts w:eastAsia="T3Font_1"/>
                <w:b w:val="false"/>
                <w:bCs w:val="false"/>
                <w:sz w:val="19"/>
                <w:szCs w:val="19"/>
              </w:rPr>
              <w:t>M. Mitrović</w:t>
            </w:r>
            <w:r>
              <w:rPr>
                <w:rFonts w:eastAsia="T3Font_1"/>
                <w:sz w:val="19"/>
                <w:szCs w:val="19"/>
              </w:rPr>
              <w:t xml:space="preserve">, R. Ku. Pan, P. Della Briotta Parolo, and F. Becattini, </w:t>
            </w:r>
            <w:r>
              <w:rPr>
                <w:rFonts w:eastAsia="T3Font_1"/>
                <w:i w:val="false"/>
                <w:iCs w:val="false"/>
                <w:sz w:val="19"/>
                <w:szCs w:val="19"/>
              </w:rPr>
              <w:t>Growing Time Lag Threatens Nobels,</w:t>
            </w:r>
            <w:r>
              <w:rPr>
                <w:rFonts w:eastAsia="T3Font_1"/>
                <w:i/>
                <w:iCs/>
                <w:sz w:val="19"/>
                <w:szCs w:val="19"/>
              </w:rPr>
              <w:t xml:space="preserve"> </w:t>
            </w:r>
            <w:r>
              <w:rPr>
                <w:rFonts w:eastAsia="T3Font_1"/>
                <w:b/>
                <w:bCs/>
                <w:sz w:val="19"/>
                <w:szCs w:val="19"/>
              </w:rPr>
              <w:t>Nature 508</w:t>
            </w:r>
            <w:r>
              <w:rPr>
                <w:rFonts w:eastAsia="T3Font_1"/>
                <w:sz w:val="19"/>
                <w:szCs w:val="19"/>
              </w:rPr>
              <w:t>,186, 2014. doi: 10.1038/508186a</w:t>
            </w:r>
          </w:p>
        </w:tc>
      </w:tr>
      <w:tr>
        <w:trPr/>
        <w:tc>
          <w:tcPr>
            <w:tcW w:w="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numPr>
                <w:ilvl w:val="0"/>
                <w:numId w:val="1"/>
              </w:numPr>
              <w:rPr>
                <w:lang w:val="sr-CS"/>
              </w:rPr>
            </w:pPr>
            <w:r>
              <w:rPr>
                <w:lang w:val="sr-CS"/>
              </w:rPr>
            </w:r>
          </w:p>
        </w:tc>
        <w:tc>
          <w:tcPr>
            <w:tcW w:w="9337"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tabs>
                <w:tab w:val="left" w:pos="900" w:leader="none"/>
                <w:tab w:val="left" w:pos="1200" w:leader="none"/>
              </w:tabs>
              <w:ind w:right="0" w:hanging="0"/>
              <w:jc w:val="both"/>
              <w:rPr/>
            </w:pPr>
            <w:r>
              <w:rPr>
                <w:rFonts w:eastAsia="T3Font_3"/>
                <w:b w:val="false"/>
                <w:bCs w:val="false"/>
                <w:sz w:val="19"/>
                <w:szCs w:val="19"/>
              </w:rPr>
              <w:t>M. Mitrović</w:t>
            </w:r>
            <w:r>
              <w:rPr>
                <w:rFonts w:eastAsia="T3Font_1"/>
                <w:b w:val="false"/>
                <w:bCs w:val="false"/>
                <w:sz w:val="19"/>
                <w:szCs w:val="19"/>
              </w:rPr>
              <w:t>,</w:t>
            </w:r>
            <w:r>
              <w:rPr>
                <w:rFonts w:eastAsia="T3Font_1"/>
                <w:sz w:val="19"/>
                <w:szCs w:val="19"/>
              </w:rPr>
              <w:t xml:space="preserve"> G. Paltoglou, and B. Tadić, </w:t>
            </w:r>
            <w:r>
              <w:rPr>
                <w:rFonts w:eastAsia="T3Font_1"/>
                <w:i w:val="false"/>
                <w:iCs w:val="false"/>
                <w:sz w:val="19"/>
                <w:szCs w:val="19"/>
              </w:rPr>
              <w:t>Quantitative analysis of bloggers' collective behavior powered by emotions</w:t>
            </w:r>
            <w:r>
              <w:rPr>
                <w:rFonts w:eastAsia="T3Font_1"/>
                <w:i/>
                <w:iCs/>
                <w:sz w:val="19"/>
                <w:szCs w:val="19"/>
              </w:rPr>
              <w:t xml:space="preserve">, </w:t>
            </w:r>
            <w:r>
              <w:rPr>
                <w:rFonts w:eastAsia="T3Font_1"/>
                <w:b/>
                <w:bCs/>
                <w:sz w:val="19"/>
                <w:szCs w:val="19"/>
              </w:rPr>
              <w:t>J. Stat. Mech.-Theory Exp.</w:t>
            </w:r>
            <w:r>
              <w:rPr>
                <w:rFonts w:eastAsia="T3Font_1"/>
                <w:sz w:val="19"/>
                <w:szCs w:val="19"/>
              </w:rPr>
              <w:t xml:space="preserve"> 2011, P02005, 2011.  DOI: 10.1088/1742-5468/2011/02/P02005</w:t>
            </w:r>
          </w:p>
        </w:tc>
      </w:tr>
      <w:tr>
        <w:trPr/>
        <w:tc>
          <w:tcPr>
            <w:tcW w:w="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numPr>
                <w:ilvl w:val="0"/>
                <w:numId w:val="1"/>
              </w:numPr>
              <w:rPr>
                <w:lang w:val="sr-CS"/>
              </w:rPr>
            </w:pPr>
            <w:r>
              <w:rPr>
                <w:lang w:val="sr-CS"/>
              </w:rPr>
            </w:r>
          </w:p>
        </w:tc>
        <w:tc>
          <w:tcPr>
            <w:tcW w:w="9337"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tabs>
                <w:tab w:val="left" w:pos="900" w:leader="none"/>
                <w:tab w:val="left" w:pos="1200" w:leader="none"/>
              </w:tabs>
              <w:ind w:right="0" w:hanging="0"/>
              <w:jc w:val="both"/>
              <w:rPr/>
            </w:pPr>
            <w:r>
              <w:rPr>
                <w:rFonts w:eastAsia="T3Font_3"/>
                <w:b w:val="false"/>
                <w:bCs w:val="false"/>
                <w:i w:val="false"/>
                <w:iCs w:val="false"/>
                <w:sz w:val="19"/>
                <w:szCs w:val="19"/>
              </w:rPr>
              <w:t>M. Mitrović</w:t>
            </w:r>
            <w:r>
              <w:rPr>
                <w:rFonts w:eastAsia="T3Font_1"/>
                <w:b w:val="false"/>
                <w:bCs w:val="false"/>
                <w:i w:val="false"/>
                <w:iCs w:val="false"/>
                <w:sz w:val="19"/>
                <w:szCs w:val="19"/>
              </w:rPr>
              <w:t>,</w:t>
            </w:r>
            <w:r>
              <w:rPr>
                <w:rFonts w:eastAsia="T3Font_1"/>
                <w:i w:val="false"/>
                <w:iCs w:val="false"/>
                <w:sz w:val="19"/>
                <w:szCs w:val="19"/>
              </w:rPr>
              <w:t xml:space="preserve"> G. Paltoglou, and B. Tadić, </w:t>
            </w:r>
            <w:r>
              <w:rPr>
                <w:rFonts w:eastAsia="T3Font_1"/>
                <w:i w:val="false"/>
                <w:iCs w:val="false"/>
                <w:sz w:val="19"/>
                <w:szCs w:val="19"/>
                <w:u w:val="none"/>
              </w:rPr>
              <w:t>Networks and emotion-driven user communities at popular Blogs</w:t>
            </w:r>
            <w:r>
              <w:rPr>
                <w:rFonts w:eastAsia="T3Font_1"/>
                <w:i w:val="false"/>
                <w:iCs w:val="false"/>
                <w:sz w:val="19"/>
                <w:szCs w:val="19"/>
              </w:rPr>
              <w:t xml:space="preserve">, </w:t>
            </w:r>
            <w:r>
              <w:rPr>
                <w:rFonts w:eastAsia="T3Font_1"/>
                <w:b/>
                <w:bCs/>
                <w:i w:val="false"/>
                <w:iCs w:val="false"/>
                <w:sz w:val="19"/>
                <w:szCs w:val="19"/>
              </w:rPr>
              <w:t xml:space="preserve">Eur. Phys. J. B </w:t>
            </w:r>
            <w:r>
              <w:rPr>
                <w:rFonts w:eastAsia="T3Font_3"/>
                <w:b/>
                <w:bCs/>
                <w:i w:val="false"/>
                <w:iCs w:val="false"/>
                <w:sz w:val="19"/>
                <w:szCs w:val="19"/>
              </w:rPr>
              <w:t>77</w:t>
            </w:r>
            <w:r>
              <w:rPr>
                <w:rFonts w:eastAsia="T3Font_1"/>
                <w:i w:val="false"/>
                <w:iCs w:val="false"/>
                <w:sz w:val="19"/>
                <w:szCs w:val="19"/>
              </w:rPr>
              <w:t xml:space="preserve">, 597, 2010. DOI: </w:t>
            </w:r>
            <w:bookmarkStart w:id="1" w:name="doi-url"/>
            <w:bookmarkEnd w:id="1"/>
            <w:r>
              <w:rPr>
                <w:rFonts w:eastAsia="T3Font_1"/>
                <w:i w:val="false"/>
                <w:iCs w:val="false"/>
                <w:sz w:val="19"/>
                <w:szCs w:val="19"/>
              </w:rPr>
              <w:t>10.1140/epjb/e2010-00279-x</w:t>
            </w:r>
          </w:p>
        </w:tc>
      </w:tr>
      <w:tr>
        <w:trPr/>
        <w:tc>
          <w:tcPr>
            <w:tcW w:w="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widowControl/>
              <w:numPr>
                <w:ilvl w:val="0"/>
                <w:numId w:val="1"/>
              </w:numPr>
              <w:rPr>
                <w:lang w:val="sr-CS"/>
              </w:rPr>
            </w:pPr>
            <w:r>
              <w:rPr>
                <w:lang w:val="sr-CS"/>
              </w:rPr>
            </w:r>
          </w:p>
        </w:tc>
        <w:tc>
          <w:tcPr>
            <w:tcW w:w="9337"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tabs>
                <w:tab w:val="left" w:pos="900" w:leader="none"/>
                <w:tab w:val="left" w:pos="1200" w:leader="none"/>
              </w:tabs>
              <w:ind w:right="0" w:hanging="0"/>
              <w:jc w:val="both"/>
              <w:rPr/>
            </w:pPr>
            <w:r>
              <w:rPr>
                <w:rFonts w:eastAsia="T3Font_3"/>
                <w:b w:val="false"/>
                <w:bCs w:val="false"/>
                <w:i w:val="false"/>
                <w:iCs w:val="false"/>
                <w:sz w:val="19"/>
                <w:szCs w:val="19"/>
              </w:rPr>
              <w:t>M. Mitrović and</w:t>
            </w:r>
            <w:r>
              <w:rPr>
                <w:rFonts w:eastAsia="T3Font_1"/>
                <w:b w:val="false"/>
                <w:bCs w:val="false"/>
                <w:i w:val="false"/>
                <w:iCs w:val="false"/>
                <w:sz w:val="19"/>
                <w:szCs w:val="19"/>
              </w:rPr>
              <w:t xml:space="preserve"> B. Tadić, Spectral and dynamical properties in classes of sparse networks with mesoscopic inhomogeneities, </w:t>
            </w:r>
            <w:r>
              <w:rPr>
                <w:rFonts w:eastAsia="T3Font_1"/>
                <w:b/>
                <w:bCs/>
                <w:i w:val="false"/>
                <w:iCs w:val="false"/>
                <w:sz w:val="19"/>
                <w:szCs w:val="19"/>
              </w:rPr>
              <w:t xml:space="preserve">Phys. Rev. E </w:t>
            </w:r>
            <w:r>
              <w:rPr>
                <w:rFonts w:eastAsia="T3Font_3"/>
                <w:b/>
                <w:bCs/>
                <w:i w:val="false"/>
                <w:iCs w:val="false"/>
                <w:sz w:val="19"/>
                <w:szCs w:val="19"/>
              </w:rPr>
              <w:t>80</w:t>
            </w:r>
            <w:r>
              <w:rPr>
                <w:rFonts w:eastAsia="T3Font_1"/>
                <w:b w:val="false"/>
                <w:bCs w:val="false"/>
                <w:i w:val="false"/>
                <w:iCs w:val="false"/>
                <w:sz w:val="19"/>
                <w:szCs w:val="19"/>
              </w:rPr>
              <w:t>, 026123, 2009. DOI: 10.1103/PhysRevE.80.026123</w:t>
            </w:r>
          </w:p>
        </w:tc>
      </w:tr>
      <w:tr>
        <w:trPr/>
        <w:tc>
          <w:tcPr>
            <w:tcW w:w="9871" w:type="dxa"/>
            <w:gridSpan w:val="11"/>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b/>
                <w:sz w:val="22"/>
                <w:szCs w:val="22"/>
              </w:rPr>
              <w:t>Summary of the teacher's research activity</w:t>
            </w:r>
          </w:p>
        </w:tc>
      </w:tr>
      <w:tr>
        <w:trPr/>
        <w:tc>
          <w:tcPr>
            <w:tcW w:w="4434"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22"/>
                <w:szCs w:val="22"/>
                <w:lang w:val="en-US"/>
              </w:rPr>
            </w:pPr>
            <w:r>
              <w:rPr>
                <w:sz w:val="22"/>
                <w:szCs w:val="22"/>
              </w:rPr>
              <w:t>Total number of citations, excl. self-citations</w:t>
            </w:r>
          </w:p>
        </w:tc>
        <w:tc>
          <w:tcPr>
            <w:tcW w:w="5437"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szCs w:val="22"/>
                <w:lang w:val="en-US"/>
              </w:rPr>
              <w:t>709 (Google Scholar), 369 (Web of Science)</w:t>
            </w:r>
          </w:p>
        </w:tc>
      </w:tr>
      <w:tr>
        <w:trPr/>
        <w:tc>
          <w:tcPr>
            <w:tcW w:w="4434"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22"/>
                <w:szCs w:val="22"/>
                <w:lang w:val="en-US"/>
              </w:rPr>
            </w:pPr>
            <w:r>
              <w:rPr>
                <w:sz w:val="22"/>
                <w:szCs w:val="22"/>
              </w:rPr>
              <w:t xml:space="preserve">Total number of </w:t>
            </w:r>
            <w:r>
              <w:rPr>
                <w:sz w:val="22"/>
                <w:szCs w:val="22"/>
                <w:lang w:val="en-US"/>
              </w:rPr>
              <w:t xml:space="preserve">SCI (SSCI) </w:t>
            </w:r>
            <w:r>
              <w:rPr>
                <w:sz w:val="22"/>
                <w:szCs w:val="22"/>
              </w:rPr>
              <w:t>papers</w:t>
            </w:r>
          </w:p>
        </w:tc>
        <w:tc>
          <w:tcPr>
            <w:tcW w:w="5437"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szCs w:val="22"/>
                <w:lang w:val="sr-RS"/>
              </w:rPr>
              <w:t>19</w:t>
            </w:r>
          </w:p>
        </w:tc>
      </w:tr>
      <w:tr>
        <w:trPr/>
        <w:tc>
          <w:tcPr>
            <w:tcW w:w="4434"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22"/>
                <w:szCs w:val="22"/>
                <w:lang w:val="en-US"/>
              </w:rPr>
            </w:pPr>
            <w:r>
              <w:rPr>
                <w:sz w:val="22"/>
                <w:szCs w:val="22"/>
              </w:rPr>
              <w:t>Current participation in projects</w:t>
            </w:r>
          </w:p>
        </w:tc>
        <w:tc>
          <w:tcPr>
            <w:tcW w:w="181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sz w:val="22"/>
                <w:szCs w:val="22"/>
              </w:rPr>
              <w:t>National</w:t>
            </w:r>
            <w:r>
              <w:rPr>
                <w:sz w:val="22"/>
                <w:szCs w:val="22"/>
                <w:lang w:val="en-US"/>
              </w:rPr>
              <w:t xml:space="preserve">: </w:t>
            </w:r>
            <w:bookmarkStart w:id="2" w:name="_GoBack"/>
            <w:bookmarkEnd w:id="2"/>
            <w:r>
              <w:rPr>
                <w:sz w:val="22"/>
                <w:szCs w:val="22"/>
                <w:lang w:val="en-US"/>
              </w:rPr>
              <w:t>2</w:t>
            </w:r>
          </w:p>
        </w:tc>
        <w:tc>
          <w:tcPr>
            <w:tcW w:w="361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pPr>
            <w:r>
              <w:rPr>
                <w:sz w:val="22"/>
                <w:szCs w:val="22"/>
              </w:rPr>
              <w:t>International</w:t>
            </w:r>
            <w:r>
              <w:rPr>
                <w:sz w:val="22"/>
                <w:szCs w:val="22"/>
                <w:lang w:val="en-US"/>
              </w:rPr>
              <w:t xml:space="preserve">: </w:t>
            </w:r>
            <w:r>
              <w:rPr>
                <w:sz w:val="22"/>
                <w:szCs w:val="22"/>
                <w:lang w:val="sr-RS"/>
              </w:rPr>
              <w:t>1</w:t>
            </w:r>
          </w:p>
        </w:tc>
      </w:tr>
      <w:tr>
        <w:trPr/>
        <w:tc>
          <w:tcPr>
            <w:tcW w:w="1651"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22"/>
                <w:szCs w:val="22"/>
                <w:lang w:val="en-US"/>
              </w:rPr>
            </w:pPr>
            <w:r>
              <w:rPr>
                <w:sz w:val="22"/>
                <w:szCs w:val="22"/>
              </w:rPr>
              <w:t>Research visits</w:t>
            </w:r>
          </w:p>
        </w:tc>
        <w:tc>
          <w:tcPr>
            <w:tcW w:w="8220" w:type="dxa"/>
            <w:gridSpan w:val="8"/>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jc w:val="both"/>
              <w:textAlignment w:val="top"/>
              <w:rPr/>
            </w:pPr>
            <w:r>
              <w:rPr>
                <w:color w:val="333333"/>
                <w:lang w:val="sr-CS"/>
              </w:rPr>
              <w:t>Department of Theoretical Physics, Jozef Stefan Institute, Slovenia (2009-2012), Department of Biomedical Engineering and Computational Science, School of Sciences, Aalto University, Finland (2012-2014)</w:t>
            </w:r>
          </w:p>
        </w:tc>
      </w:tr>
      <w:tr>
        <w:trPr/>
        <w:tc>
          <w:tcPr>
            <w:tcW w:w="9871" w:type="dxa"/>
            <w:gridSpan w:val="11"/>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22"/>
                <w:szCs w:val="22"/>
                <w:lang w:val="sr-CS"/>
              </w:rPr>
            </w:pPr>
            <w:r>
              <w:rPr>
                <w:sz w:val="22"/>
                <w:szCs w:val="22"/>
              </w:rPr>
              <w:t>Other relevant facts:</w:t>
            </w:r>
          </w:p>
          <w:p>
            <w:pPr>
              <w:pStyle w:val="Normal"/>
              <w:jc w:val="both"/>
              <w:rPr>
                <w:rFonts w:ascii="Times New Roman" w:hAnsi="Times New Roman"/>
                <w:color w:val="333333"/>
                <w:sz w:val="19"/>
                <w:szCs w:val="19"/>
              </w:rPr>
            </w:pPr>
            <w:r>
              <w:rPr>
                <w:rFonts w:eastAsia="MS Mincho" w:cs="Arial"/>
                <w:color w:val="333333"/>
                <w:sz w:val="19"/>
                <w:szCs w:val="19"/>
              </w:rPr>
              <w:t xml:space="preserve">She is the Head of Innovation Center of Institute of Physics Belgrade. She has extensive knowledge and experience in theoretical and computational physics. Her primary research interest is statistical physics of complex systems, with the emphasis on physics of social behavior and complex networks theory. As a Head of Innovation Center she is involved in technology development and commercialisation, IP protection and managament. </w:t>
            </w:r>
            <w:r>
              <w:rPr>
                <w:color w:val="333333"/>
                <w:sz w:val="19"/>
                <w:szCs w:val="19"/>
              </w:rPr>
              <w:t xml:space="preserve">Participant in a number of international </w:t>
            </w:r>
            <w:r>
              <w:rPr>
                <w:color w:val="333333"/>
                <w:sz w:val="19"/>
                <w:szCs w:val="19"/>
              </w:rPr>
              <w:t>and</w:t>
            </w:r>
            <w:r>
              <w:rPr>
                <w:color w:val="333333"/>
                <w:sz w:val="19"/>
                <w:szCs w:val="19"/>
              </w:rPr>
              <w:t xml:space="preserve"> national projects, both research (FP6, FP7) and technology development (</w:t>
            </w:r>
            <w:r>
              <w:rPr>
                <w:color w:val="333333"/>
                <w:sz w:val="19"/>
                <w:szCs w:val="19"/>
                <w:lang w:val="en-US"/>
              </w:rPr>
              <w:t>Collaborative Grant Scheme, H2020</w:t>
            </w:r>
            <w:r>
              <w:rPr>
                <w:color w:val="333333"/>
                <w:sz w:val="19"/>
                <w:szCs w:val="19"/>
              </w:rPr>
              <w:t xml:space="preserve">). </w:t>
            </w:r>
          </w:p>
        </w:tc>
      </w:tr>
    </w:tbl>
    <w:p>
      <w:pPr>
        <w:pStyle w:val="Normal"/>
        <w:rPr>
          <w:sz w:val="2"/>
        </w:rPr>
      </w:pPr>
      <w:r>
        <w:rPr>
          <w:sz w:val="2"/>
        </w:rPr>
      </w:r>
    </w:p>
    <w:p>
      <w:pPr>
        <w:pStyle w:val="Normal"/>
        <w:rPr/>
      </w:pPr>
      <w:r>
        <w:rPr/>
      </w:r>
    </w:p>
    <w:p>
      <w:pPr>
        <w:pStyle w:val="Normal"/>
        <w:rPr/>
      </w:pPr>
      <w:r>
        <w:rPr/>
      </w:r>
    </w:p>
    <w:sectPr>
      <w:type w:val="nextPage"/>
      <w:pgSz w:w="12240" w:h="15840"/>
      <w:pgMar w:left="1134" w:right="1134" w:header="0" w:top="567" w:footer="0" w:bottom="567"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Courier New">
    <w:charset w:val="01"/>
    <w:family w:val="roman"/>
    <w:pitch w:val="variable"/>
  </w:font>
  <w:font w:name="Times">
    <w:altName w:val="Times New Roman"/>
    <w:charset w:val="01"/>
    <w:family w:val="roman"/>
    <w:pitch w:val="variable"/>
  </w:font>
  <w:font w:name="Tahoma">
    <w:charset w:val="01"/>
    <w:family w:val="roman"/>
    <w:pitch w:val="variable"/>
  </w:font>
  <w:font w:name="Liberation Sans">
    <w:altName w:val="Arial"/>
    <w:charset w:val="01"/>
    <w:family w:val="roman"/>
    <w:pitch w:val="variable"/>
  </w:font>
  <w:font w:name="Verdana">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right"/>
      <w:pPr>
        <w:tabs>
          <w:tab w:val="num" w:pos="720"/>
        </w:tabs>
        <w:ind w:left="720" w:hanging="360"/>
      </w:pPr>
      <w:rPr>
        <w:sz w:val="24"/>
        <w:b w:val="false"/>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mirrorMargins/>
  <w:embedSystemFonts/>
  <w:defaultTabStop w:val="720"/>
  <w:compat>
    <w:compatSetting w:name="compatibilityMode" w:uri="http://schemas.microsoft.com/office/word" w:val="12"/>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en-US" w:bidi="ar-SA"/>
      </w:rPr>
    </w:rPrDefault>
    <w:pPrDefault>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0e2421"/>
    <w:pPr>
      <w:widowControl w:val="false"/>
      <w:bidi w:val="0"/>
      <w:jc w:val="left"/>
    </w:pPr>
    <w:rPr>
      <w:rFonts w:ascii="Times New Roman" w:hAnsi="Times New Roman" w:eastAsia="Times New Roman" w:cs="Times New Roman"/>
      <w:color w:val="00000A"/>
      <w:sz w:val="20"/>
      <w:szCs w:val="20"/>
      <w:lang w:val="sr-Latn-CS" w:eastAsia="sr-Latn-CS" w:bidi="ar-SA"/>
    </w:rPr>
  </w:style>
  <w:style w:type="paragraph" w:styleId="Heading1">
    <w:name w:val="Heading 1"/>
    <w:basedOn w:val="Normal"/>
    <w:next w:val="Normal"/>
    <w:link w:val="Heading1Char"/>
    <w:qFormat/>
    <w:rsid w:val="00297654"/>
    <w:pPr>
      <w:keepNext/>
      <w:spacing w:before="240" w:after="60"/>
      <w:outlineLvl w:val="0"/>
    </w:pPr>
    <w:rPr>
      <w:rFonts w:ascii="Cambria" w:hAnsi="Cambria"/>
      <w:b/>
      <w:bCs/>
      <w:sz w:val="32"/>
      <w:szCs w:val="32"/>
    </w:rPr>
  </w:style>
  <w:style w:type="paragraph" w:styleId="Heading3">
    <w:name w:val="Heading 3"/>
    <w:basedOn w:val="Normal"/>
    <w:next w:val="Normal"/>
    <w:link w:val="Heading3Char"/>
    <w:qFormat/>
    <w:rsid w:val="00e55139"/>
    <w:pPr>
      <w:keepNext/>
      <w:widowControl/>
      <w:spacing w:before="0" w:after="60"/>
      <w:outlineLvl w:val="2"/>
    </w:pPr>
    <w:rPr>
      <w:rFonts w:ascii="Arial" w:hAnsi="Arial" w:cs="Arial"/>
      <w:bCs/>
      <w:i/>
      <w:sz w:val="24"/>
      <w:szCs w:val="26"/>
      <w:lang w:val="en-US" w:eastAsia="en-US"/>
    </w:rPr>
  </w:style>
  <w:style w:type="character" w:styleId="DefaultParagraphFont" w:default="1">
    <w:name w:val="Default Paragraph Font"/>
    <w:uiPriority w:val="1"/>
    <w:semiHidden/>
    <w:unhideWhenUsed/>
    <w:qFormat/>
    <w:rPr/>
  </w:style>
  <w:style w:type="character" w:styleId="InternetLink">
    <w:name w:val="Internet Link"/>
    <w:uiPriority w:val="99"/>
    <w:rsid w:val="009a30e1"/>
    <w:rPr>
      <w:color w:val="0000FF"/>
      <w:u w:val="single"/>
    </w:rPr>
  </w:style>
  <w:style w:type="character" w:styleId="HTMLPreformattedChar" w:customStyle="1">
    <w:name w:val="HTML Preformatted Char"/>
    <w:basedOn w:val="DefaultParagraphFont"/>
    <w:link w:val="HTMLPreformatted"/>
    <w:qFormat/>
    <w:rsid w:val="003311c0"/>
    <w:rPr>
      <w:rFonts w:ascii="Courier New" w:hAnsi="Courier New"/>
    </w:rPr>
  </w:style>
  <w:style w:type="character" w:styleId="Heading3Char" w:customStyle="1">
    <w:name w:val="Heading 3 Char"/>
    <w:basedOn w:val="DefaultParagraphFont"/>
    <w:link w:val="Heading3"/>
    <w:qFormat/>
    <w:rsid w:val="00e55139"/>
    <w:rPr>
      <w:rFonts w:ascii="Arial" w:hAnsi="Arial" w:cs="Arial"/>
      <w:bCs/>
      <w:i/>
      <w:sz w:val="24"/>
      <w:szCs w:val="26"/>
    </w:rPr>
  </w:style>
  <w:style w:type="character" w:styleId="Applestylespan" w:customStyle="1">
    <w:name w:val="apple-style-span"/>
    <w:basedOn w:val="DefaultParagraphFont"/>
    <w:qFormat/>
    <w:rsid w:val="00d052b3"/>
    <w:rPr/>
  </w:style>
  <w:style w:type="character" w:styleId="Appleconvertedspace" w:customStyle="1">
    <w:name w:val="apple-converted-space"/>
    <w:basedOn w:val="DefaultParagraphFont"/>
    <w:qFormat/>
    <w:rsid w:val="00d052b3"/>
    <w:rPr/>
  </w:style>
  <w:style w:type="character" w:styleId="Hps" w:customStyle="1">
    <w:name w:val="hps"/>
    <w:basedOn w:val="DefaultParagraphFont"/>
    <w:qFormat/>
    <w:rsid w:val="00d052b3"/>
    <w:rPr/>
  </w:style>
  <w:style w:type="character" w:styleId="FooterChar" w:customStyle="1">
    <w:name w:val="Footer Char"/>
    <w:basedOn w:val="DefaultParagraphFont"/>
    <w:link w:val="Footer"/>
    <w:qFormat/>
    <w:rsid w:val="00d11630"/>
    <w:rPr>
      <w:rFonts w:ascii="Times" w:hAnsi="Times"/>
      <w:lang w:val="hr-HR"/>
    </w:rPr>
  </w:style>
  <w:style w:type="character" w:styleId="Style48" w:customStyle="1">
    <w:name w:val="style48"/>
    <w:basedOn w:val="DefaultParagraphFont"/>
    <w:qFormat/>
    <w:rsid w:val="00d11630"/>
    <w:rPr/>
  </w:style>
  <w:style w:type="character" w:styleId="Style41" w:customStyle="1">
    <w:name w:val="style41"/>
    <w:basedOn w:val="DefaultParagraphFont"/>
    <w:qFormat/>
    <w:rsid w:val="00d11630"/>
    <w:rPr/>
  </w:style>
  <w:style w:type="character" w:styleId="Heading1Char" w:customStyle="1">
    <w:name w:val="Heading 1 Char"/>
    <w:basedOn w:val="DefaultParagraphFont"/>
    <w:link w:val="Heading1"/>
    <w:qFormat/>
    <w:rsid w:val="00297654"/>
    <w:rPr>
      <w:rFonts w:ascii="Cambria" w:hAnsi="Cambria" w:eastAsia="Times New Roman" w:cs="Times New Roman"/>
      <w:b/>
      <w:bCs/>
      <w:sz w:val="32"/>
      <w:szCs w:val="32"/>
      <w:lang w:val="sr-Latn-CS" w:eastAsia="sr-Latn-CS"/>
    </w:rPr>
  </w:style>
  <w:style w:type="character" w:styleId="BalloonTextChar" w:customStyle="1">
    <w:name w:val="Balloon Text Char"/>
    <w:basedOn w:val="DefaultParagraphFont"/>
    <w:link w:val="BalloonText"/>
    <w:qFormat/>
    <w:rsid w:val="00df7c5a"/>
    <w:rPr>
      <w:rFonts w:ascii="Tahoma" w:hAnsi="Tahoma" w:cs="Tahoma"/>
      <w:sz w:val="16"/>
      <w:szCs w:val="16"/>
      <w:lang w:val="sr-Latn-CS" w:eastAsia="sr-Latn-CS"/>
    </w:rPr>
  </w:style>
  <w:style w:type="character" w:styleId="Toph" w:customStyle="1">
    <w:name w:val="top-h"/>
    <w:basedOn w:val="DefaultParagraphFont"/>
    <w:qFormat/>
    <w:rsid w:val="006b6e34"/>
    <w:rPr/>
  </w:style>
  <w:style w:type="character" w:styleId="Yshortcuts" w:customStyle="1">
    <w:name w:val="yshortcuts"/>
    <w:basedOn w:val="DefaultParagraphFont"/>
    <w:qFormat/>
    <w:rsid w:val="0035127d"/>
    <w:rPr/>
  </w:style>
  <w:style w:type="character" w:styleId="Contentslistitemarticletitle" w:customStyle="1">
    <w:name w:val="contentslistitem_articletitle"/>
    <w:basedOn w:val="DefaultParagraphFont"/>
    <w:qFormat/>
    <w:rsid w:val="0035127d"/>
    <w:rPr/>
  </w:style>
  <w:style w:type="character" w:styleId="Contentslistitempages" w:customStyle="1">
    <w:name w:val="contentslistitem_pages"/>
    <w:basedOn w:val="DefaultParagraphFont"/>
    <w:qFormat/>
    <w:rsid w:val="0035127d"/>
    <w:rPr/>
  </w:style>
  <w:style w:type="character" w:styleId="Msonormalstyle1" w:customStyle="1">
    <w:name w:val="msonormal style1"/>
    <w:basedOn w:val="DefaultParagraphFont"/>
    <w:qFormat/>
    <w:rsid w:val="00210aaa"/>
    <w:rPr/>
  </w:style>
  <w:style w:type="character" w:styleId="DocumentMapChar" w:customStyle="1">
    <w:name w:val="Document Map Char"/>
    <w:basedOn w:val="DefaultParagraphFont"/>
    <w:link w:val="DocumentMap"/>
    <w:qFormat/>
    <w:rsid w:val="00b131f4"/>
    <w:rPr>
      <w:rFonts w:ascii="Tahoma" w:hAnsi="Tahoma" w:cs="Tahoma"/>
      <w:sz w:val="16"/>
      <w:szCs w:val="16"/>
      <w:lang w:val="sr-Latn-CS" w:eastAsia="sr-Latn-CS"/>
    </w:rPr>
  </w:style>
  <w:style w:type="character" w:styleId="Strong">
    <w:name w:val="Strong"/>
    <w:basedOn w:val="DefaultParagraphFont"/>
    <w:uiPriority w:val="22"/>
    <w:qFormat/>
    <w:rsid w:val="0048749c"/>
    <w:rPr>
      <w:b/>
      <w:bCs/>
    </w:rPr>
  </w:style>
  <w:style w:type="character" w:styleId="Annotationreference">
    <w:name w:val="annotation reference"/>
    <w:basedOn w:val="DefaultParagraphFont"/>
    <w:qFormat/>
    <w:rsid w:val="00a07fe4"/>
    <w:rPr>
      <w:sz w:val="16"/>
      <w:szCs w:val="16"/>
    </w:rPr>
  </w:style>
  <w:style w:type="character" w:styleId="CommentTextChar" w:customStyle="1">
    <w:name w:val="Comment Text Char"/>
    <w:basedOn w:val="DefaultParagraphFont"/>
    <w:link w:val="CommentText"/>
    <w:qFormat/>
    <w:rsid w:val="00a07fe4"/>
    <w:rPr>
      <w:lang w:val="sr-Latn-CS" w:eastAsia="sr-Latn-CS"/>
    </w:rPr>
  </w:style>
  <w:style w:type="character" w:styleId="CommentSubjectChar" w:customStyle="1">
    <w:name w:val="Comment Subject Char"/>
    <w:basedOn w:val="CommentTextChar"/>
    <w:link w:val="CommentSubject"/>
    <w:qFormat/>
    <w:rsid w:val="00a07fe4"/>
    <w:rPr>
      <w:b/>
      <w:bCs/>
      <w:lang w:val="sr-Latn-CS" w:eastAsia="sr-Latn-CS"/>
    </w:rPr>
  </w:style>
  <w:style w:type="character" w:styleId="ListLabel1">
    <w:name w:val="ListLabel 1"/>
    <w:qFormat/>
    <w:rPr>
      <w:b w:val="false"/>
      <w:sz w:val="24"/>
      <w:szCs w:val="24"/>
    </w:rPr>
  </w:style>
  <w:style w:type="character" w:styleId="ListLabel2">
    <w:name w:val="ListLabel 2"/>
    <w:qFormat/>
    <w:rPr>
      <w:b w:val="false"/>
      <w:sz w:val="20"/>
      <w:szCs w:val="24"/>
    </w:rPr>
  </w:style>
  <w:style w:type="character" w:styleId="ListLabel3">
    <w:name w:val="ListLabel 3"/>
    <w:qFormat/>
    <w:rPr>
      <w:b w:val="false"/>
      <w:sz w:val="20"/>
      <w:szCs w:val="24"/>
    </w:rPr>
  </w:style>
  <w:style w:type="character" w:styleId="ListLabel4">
    <w:name w:val="ListLabel 4"/>
    <w:qFormat/>
    <w:rPr>
      <w:b w:val="false"/>
      <w:sz w:val="20"/>
      <w:szCs w:val="24"/>
    </w:rPr>
  </w:style>
  <w:style w:type="character" w:styleId="ListLabel5">
    <w:name w:val="ListLabel 5"/>
    <w:qFormat/>
    <w:rPr>
      <w:b w:val="false"/>
      <w:sz w:val="20"/>
      <w:szCs w:val="24"/>
    </w:rPr>
  </w:style>
  <w:style w:type="character" w:styleId="ListLabel6">
    <w:name w:val="ListLabel 6"/>
    <w:qFormat/>
    <w:rPr>
      <w:b w:val="false"/>
      <w:sz w:val="24"/>
      <w:szCs w:val="24"/>
    </w:rPr>
  </w:style>
  <w:style w:type="character" w:styleId="ListLabel7">
    <w:name w:val="ListLabel 7"/>
    <w:qFormat/>
    <w:rPr>
      <w:b w:val="false"/>
      <w:sz w:val="20"/>
      <w:szCs w:val="24"/>
    </w:rPr>
  </w:style>
  <w:style w:type="character" w:styleId="ListLabel8">
    <w:name w:val="ListLabel 8"/>
    <w:qFormat/>
    <w:rPr>
      <w:b w:val="false"/>
      <w:sz w:val="24"/>
      <w:szCs w:val="24"/>
    </w:rPr>
  </w:style>
  <w:style w:type="character" w:styleId="ListLabel9">
    <w:name w:val="ListLabel 9"/>
    <w:qFormat/>
    <w:rPr>
      <w:b w:val="false"/>
      <w:sz w:val="24"/>
      <w:szCs w:val="24"/>
    </w:rPr>
  </w:style>
  <w:style w:type="character" w:styleId="ListLabel10">
    <w:name w:val="ListLabel 10"/>
    <w:qFormat/>
    <w:rPr>
      <w:b w:val="false"/>
      <w:sz w:val="24"/>
      <w:szCs w:val="24"/>
    </w:rPr>
  </w:style>
  <w:style w:type="character" w:styleId="ListLabel11">
    <w:name w:val="ListLabel 11"/>
    <w:qFormat/>
    <w:rPr>
      <w:b w:val="false"/>
      <w:sz w:val="24"/>
      <w:szCs w:val="24"/>
    </w:rPr>
  </w:style>
  <w:style w:type="character" w:styleId="ListLabel12">
    <w:name w:val="ListLabel 12"/>
    <w:qFormat/>
    <w:rPr>
      <w:sz w:val="20"/>
    </w:rPr>
  </w:style>
  <w:style w:type="character" w:styleId="ListLabel13">
    <w:name w:val="ListLabel 13"/>
    <w:qFormat/>
    <w:rPr>
      <w:b w:val="false"/>
      <w:sz w:val="24"/>
      <w:szCs w:val="24"/>
    </w:rPr>
  </w:style>
  <w:style w:type="character" w:styleId="ListLabel14">
    <w:name w:val="ListLabel 14"/>
    <w:qFormat/>
    <w:rPr>
      <w:b w:val="false"/>
      <w:sz w:val="20"/>
      <w:szCs w:val="24"/>
    </w:rPr>
  </w:style>
  <w:style w:type="character" w:styleId="ListLabel15">
    <w:name w:val="ListLabel 15"/>
    <w:qFormat/>
    <w:rPr>
      <w:b w:val="false"/>
      <w:sz w:val="24"/>
      <w:szCs w:val="24"/>
    </w:rPr>
  </w:style>
  <w:style w:type="character" w:styleId="ListLabel16">
    <w:name w:val="ListLabel 16"/>
    <w:qFormat/>
    <w:rPr>
      <w:sz w:val="18"/>
    </w:rPr>
  </w:style>
  <w:style w:type="character" w:styleId="ListLabel17">
    <w:name w:val="ListLabel 17"/>
    <w:qFormat/>
    <w:rPr>
      <w:b w:val="false"/>
      <w:sz w:val="24"/>
      <w:szCs w:val="24"/>
    </w:rPr>
  </w:style>
  <w:style w:type="character" w:styleId="ListLabel18">
    <w:name w:val="ListLabel 18"/>
    <w:qFormat/>
    <w:rPr>
      <w:b w:val="false"/>
      <w:sz w:val="24"/>
      <w:szCs w:val="24"/>
    </w:rPr>
  </w:style>
  <w:style w:type="character" w:styleId="ListLabel19">
    <w:name w:val="ListLabel 19"/>
    <w:qFormat/>
    <w:rPr>
      <w:b w:val="false"/>
      <w:sz w:val="22"/>
      <w:szCs w:val="24"/>
    </w:rPr>
  </w:style>
  <w:style w:type="character" w:styleId="ListLabel20">
    <w:name w:val="ListLabel 20"/>
    <w:qFormat/>
    <w:rPr>
      <w:sz w:val="20"/>
    </w:rPr>
  </w:style>
  <w:style w:type="character" w:styleId="ListLabel21">
    <w:name w:val="ListLabel 21"/>
    <w:qFormat/>
    <w:rPr>
      <w:b w:val="false"/>
      <w:sz w:val="24"/>
      <w:szCs w:val="24"/>
    </w:rPr>
  </w:style>
  <w:style w:type="character" w:styleId="ListLabel22">
    <w:name w:val="ListLabel 22"/>
    <w:qFormat/>
    <w:rPr>
      <w:sz w:val="18"/>
    </w:rPr>
  </w:style>
  <w:style w:type="character" w:styleId="ListLabel23">
    <w:name w:val="ListLabel 23"/>
    <w:qFormat/>
    <w:rPr>
      <w:sz w:val="16"/>
    </w:rPr>
  </w:style>
  <w:style w:type="character" w:styleId="ListLabel24">
    <w:name w:val="ListLabel 24"/>
    <w:qFormat/>
    <w:rPr>
      <w:b w:val="false"/>
      <w:sz w:val="24"/>
      <w:szCs w:val="24"/>
    </w:rPr>
  </w:style>
  <w:style w:type="character" w:styleId="ListLabel25">
    <w:name w:val="ListLabel 25"/>
    <w:qFormat/>
    <w:rPr>
      <w:b w:val="false"/>
      <w:sz w:val="24"/>
      <w:szCs w:val="24"/>
    </w:rPr>
  </w:style>
  <w:style w:type="character" w:styleId="ListLabel26">
    <w:name w:val="ListLabel 26"/>
    <w:qFormat/>
    <w:rPr>
      <w:b w:val="false"/>
      <w:sz w:val="24"/>
      <w:szCs w:val="24"/>
    </w:rPr>
  </w:style>
  <w:style w:type="character" w:styleId="ListLabel27">
    <w:name w:val="ListLabel 27"/>
    <w:qFormat/>
    <w:rPr>
      <w:b w:val="false"/>
      <w:sz w:val="24"/>
      <w:szCs w:val="24"/>
    </w:rPr>
  </w:style>
  <w:style w:type="character" w:styleId="ListLabel28">
    <w:name w:val="ListLabel 28"/>
    <w:qFormat/>
    <w:rPr>
      <w:b w:val="false"/>
      <w:sz w:val="18"/>
      <w:szCs w:val="24"/>
    </w:rPr>
  </w:style>
  <w:style w:type="character" w:styleId="ListLabel29">
    <w:name w:val="ListLabel 29"/>
    <w:qFormat/>
    <w:rPr>
      <w:b w:val="false"/>
      <w:sz w:val="24"/>
      <w:szCs w:val="24"/>
    </w:rPr>
  </w:style>
  <w:style w:type="character" w:styleId="ListLabel30">
    <w:name w:val="ListLabel 30"/>
    <w:qFormat/>
    <w:rPr>
      <w:b w:val="false"/>
      <w:sz w:val="20"/>
      <w:szCs w:val="24"/>
    </w:rPr>
  </w:style>
  <w:style w:type="character" w:styleId="ListLabel31">
    <w:name w:val="ListLabel 31"/>
    <w:qFormat/>
    <w:rPr>
      <w:b w:val="false"/>
      <w:sz w:val="24"/>
      <w:szCs w:val="24"/>
    </w:rPr>
  </w:style>
  <w:style w:type="character" w:styleId="ListLabel32">
    <w:name w:val="ListLabel 32"/>
    <w:qFormat/>
    <w:rPr>
      <w:sz w:val="20"/>
      <w:szCs w:val="20"/>
    </w:rPr>
  </w:style>
  <w:style w:type="character" w:styleId="ListLabel33">
    <w:name w:val="ListLabel 33"/>
    <w:qFormat/>
    <w:rPr>
      <w:sz w:val="20"/>
    </w:rPr>
  </w:style>
  <w:style w:type="character" w:styleId="ListLabel34">
    <w:name w:val="ListLabel 34"/>
    <w:qFormat/>
    <w:rPr>
      <w:b w:val="false"/>
      <w:sz w:val="20"/>
      <w:szCs w:val="24"/>
    </w:rPr>
  </w:style>
  <w:style w:type="character" w:styleId="ListLabel35">
    <w:name w:val="ListLabel 35"/>
    <w:qFormat/>
    <w:rPr>
      <w:b w:val="false"/>
      <w:sz w:val="24"/>
      <w:szCs w:val="24"/>
    </w:rPr>
  </w:style>
  <w:style w:type="character" w:styleId="ListLabel36">
    <w:name w:val="ListLabel 36"/>
    <w:qFormat/>
    <w:rPr>
      <w:b w:val="false"/>
      <w:sz w:val="24"/>
      <w:szCs w:val="24"/>
    </w:rPr>
  </w:style>
  <w:style w:type="character" w:styleId="ListLabel37">
    <w:name w:val="ListLabel 37"/>
    <w:qFormat/>
    <w:rPr>
      <w:b w:val="false"/>
      <w:sz w:val="24"/>
      <w:szCs w:val="24"/>
    </w:rPr>
  </w:style>
  <w:style w:type="paragraph" w:styleId="Heading">
    <w:name w:val="Heading"/>
    <w:basedOn w:val="Normal"/>
    <w:next w:val="TextBody"/>
    <w:qFormat/>
    <w:pPr>
      <w:keepNext/>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Default" w:customStyle="1">
    <w:name w:val="Default"/>
    <w:qFormat/>
    <w:rsid w:val="00cf794d"/>
    <w:pPr>
      <w:widowControl w:val="false"/>
      <w:bidi w:val="0"/>
      <w:jc w:val="left"/>
    </w:pPr>
    <w:rPr>
      <w:rFonts w:ascii="Arial" w:hAnsi="Arial" w:eastAsia="Times New Roman" w:cs="Arial"/>
      <w:color w:val="000000"/>
      <w:sz w:val="24"/>
      <w:szCs w:val="24"/>
      <w:lang w:val="en-US" w:eastAsia="en-US" w:bidi="ar-SA"/>
    </w:rPr>
  </w:style>
  <w:style w:type="paragraph" w:styleId="HTMLPreformatted">
    <w:name w:val="HTML Preformatted"/>
    <w:basedOn w:val="Normal"/>
    <w:link w:val="HTMLPreformattedChar"/>
    <w:qFormat/>
    <w:rsid w:val="003311c0"/>
    <w:pPr>
      <w:widowContro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rPr>
  </w:style>
  <w:style w:type="paragraph" w:styleId="NormalWeb">
    <w:name w:val="Normal (Web)"/>
    <w:basedOn w:val="Normal"/>
    <w:uiPriority w:val="99"/>
    <w:unhideWhenUsed/>
    <w:qFormat/>
    <w:rsid w:val="00d052b3"/>
    <w:pPr>
      <w:widowControl/>
      <w:spacing w:before="0" w:after="75"/>
      <w:jc w:val="both"/>
    </w:pPr>
    <w:rPr>
      <w:sz w:val="24"/>
      <w:szCs w:val="24"/>
      <w:lang w:val="en-US" w:eastAsia="en-US"/>
    </w:rPr>
  </w:style>
  <w:style w:type="paragraph" w:styleId="Footer">
    <w:name w:val="Footer"/>
    <w:basedOn w:val="Normal"/>
    <w:link w:val="FooterChar"/>
    <w:rsid w:val="00d11630"/>
    <w:pPr>
      <w:widowControl/>
      <w:tabs>
        <w:tab w:val="center" w:pos="4320" w:leader="none"/>
        <w:tab w:val="right" w:pos="8640" w:leader="none"/>
      </w:tabs>
    </w:pPr>
    <w:rPr>
      <w:rFonts w:ascii="Times" w:hAnsi="Times"/>
      <w:lang w:val="hr-HR" w:eastAsia="en-US"/>
    </w:rPr>
  </w:style>
  <w:style w:type="paragraph" w:styleId="BalloonText">
    <w:name w:val="Balloon Text"/>
    <w:basedOn w:val="Normal"/>
    <w:link w:val="BalloonTextChar"/>
    <w:qFormat/>
    <w:rsid w:val="00df7c5a"/>
    <w:pPr/>
    <w:rPr>
      <w:rFonts w:ascii="Tahoma" w:hAnsi="Tahoma" w:cs="Tahoma"/>
      <w:sz w:val="16"/>
      <w:szCs w:val="16"/>
    </w:rPr>
  </w:style>
  <w:style w:type="paragraph" w:styleId="Char" w:customStyle="1">
    <w:name w:val="Char"/>
    <w:basedOn w:val="Normal"/>
    <w:qFormat/>
    <w:rsid w:val="00a858b7"/>
    <w:pPr>
      <w:widowControl/>
      <w:tabs>
        <w:tab w:val="center" w:pos="3682" w:leader="none"/>
        <w:tab w:val="right" w:pos="7380" w:leader="none"/>
      </w:tabs>
      <w:spacing w:lineRule="exact" w:line="240" w:before="0" w:after="160"/>
    </w:pPr>
    <w:rPr>
      <w:rFonts w:ascii="Verdana" w:hAnsi="Verdana" w:cs="Arial"/>
      <w:color w:val="000080"/>
      <w:sz w:val="18"/>
      <w:szCs w:val="18"/>
      <w:lang w:eastAsia="en-US"/>
    </w:rPr>
  </w:style>
  <w:style w:type="paragraph" w:styleId="CharCharChar" w:customStyle="1">
    <w:name w:val="Char Char Char"/>
    <w:basedOn w:val="Normal"/>
    <w:qFormat/>
    <w:rsid w:val="0035127d"/>
    <w:pPr>
      <w:widowControl/>
      <w:spacing w:lineRule="exact" w:line="240" w:before="0" w:after="160"/>
    </w:pPr>
    <w:rPr>
      <w:rFonts w:ascii="Arial" w:hAnsi="Arial" w:cs="Arial"/>
      <w:lang w:val="fr-CH"/>
    </w:rPr>
  </w:style>
  <w:style w:type="paragraph" w:styleId="DocumentMap">
    <w:name w:val="Document Map"/>
    <w:basedOn w:val="Normal"/>
    <w:link w:val="DocumentMapChar"/>
    <w:qFormat/>
    <w:rsid w:val="00b131f4"/>
    <w:pPr/>
    <w:rPr>
      <w:rFonts w:ascii="Tahoma" w:hAnsi="Tahoma" w:cs="Tahoma"/>
      <w:sz w:val="16"/>
      <w:szCs w:val="16"/>
    </w:rPr>
  </w:style>
  <w:style w:type="paragraph" w:styleId="Annotationtext">
    <w:name w:val="annotation text"/>
    <w:basedOn w:val="Normal"/>
    <w:link w:val="CommentTextChar"/>
    <w:qFormat/>
    <w:rsid w:val="00a07fe4"/>
    <w:pPr/>
    <w:rPr/>
  </w:style>
  <w:style w:type="paragraph" w:styleId="Annotationsubject">
    <w:name w:val="annotation subject"/>
    <w:basedOn w:val="Annotationtext"/>
    <w:link w:val="CommentSubjectChar"/>
    <w:qFormat/>
    <w:rsid w:val="00a07fe4"/>
    <w:pPr/>
    <w:rPr>
      <w:b/>
      <w:bCs/>
    </w:rPr>
  </w:style>
  <w:style w:type="paragraph" w:styleId="ListParagraph">
    <w:name w:val="List Paragraph"/>
    <w:basedOn w:val="Normal"/>
    <w:uiPriority w:val="34"/>
    <w:qFormat/>
    <w:rsid w:val="00c2058d"/>
    <w:pPr>
      <w:spacing w:before="0" w:after="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rsid w:val="00367e7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Application>LibreOffice/5.1.6.2$Linux_X86_64 LibreOffice_project/10m0$Build-2</Application>
  <Pages>1</Pages>
  <Words>546</Words>
  <Characters>3370</Characters>
  <CharactersWithSpaces>3855</CharactersWithSpaces>
  <Paragraphs>75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2014-03-26T18:33:00Z</dcterms:created>
  <dc:creator>Vera Dondur</dc:creator>
  <dc:description/>
  <dc:language>en-US</dc:language>
  <cp:lastModifiedBy/>
  <cp:lastPrinted>2012-02-13T18:34:00Z</cp:lastPrinted>
  <dcterms:modified xsi:type="dcterms:W3CDTF">2019-06-05T09:36:45Z</dcterms:modified>
  <cp:revision>15</cp:revision>
  <dc:subject/>
  <dc:title>Табела 9</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